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BF449" w14:textId="36766A63" w:rsidR="00876D55" w:rsidRDefault="008A77DE">
      <w:pPr>
        <w:tabs>
          <w:tab w:val="right" w:pos="9282"/>
          <w:tab w:val="right" w:pos="9492"/>
        </w:tabs>
        <w:snapToGrid w:val="0"/>
        <w:spacing w:line="276" w:lineRule="auto"/>
        <w:rPr>
          <w:rFonts w:ascii="Arial" w:hAnsi="Arial" w:cs="Times New Roman"/>
          <w:b/>
          <w:kern w:val="0"/>
        </w:rPr>
      </w:pPr>
      <w:r>
        <w:rPr>
          <w:rFonts w:ascii="Arial" w:eastAsia="MS Mincho" w:hAnsi="Arial" w:cs="Times New Roman"/>
          <w:b/>
          <w:kern w:val="0"/>
        </w:rPr>
        <w:t>3GPP TSG RAN Meeting #10</w:t>
      </w:r>
      <w:r>
        <w:rPr>
          <w:rFonts w:ascii="Arial" w:hAnsi="Arial" w:cs="Times New Roman" w:hint="eastAsia"/>
          <w:b/>
          <w:kern w:val="0"/>
        </w:rPr>
        <w:t>9</w:t>
      </w:r>
      <w:r>
        <w:rPr>
          <w:rFonts w:cs="Times New Roman"/>
          <w:b/>
          <w:kern w:val="0"/>
        </w:rPr>
        <w:tab/>
      </w:r>
      <w:r w:rsidR="00CF6B9F">
        <w:rPr>
          <w:rFonts w:ascii="Arial" w:hAnsi="Arial" w:cs="Times New Roman" w:hint="eastAsia"/>
          <w:b/>
          <w:kern w:val="0"/>
        </w:rPr>
        <w:t xml:space="preserve">   </w:t>
      </w:r>
      <w:r w:rsidR="00CF6B9F" w:rsidRPr="00CF6B9F">
        <w:rPr>
          <w:rFonts w:ascii="Arial" w:hAnsi="Arial" w:cs="Times New Roman"/>
          <w:b/>
          <w:kern w:val="0"/>
        </w:rPr>
        <w:t>RP-252024</w:t>
      </w:r>
    </w:p>
    <w:p w14:paraId="694757E1" w14:textId="77777777" w:rsidR="00876D55" w:rsidRDefault="008A77DE">
      <w:pPr>
        <w:snapToGrid w:val="0"/>
        <w:spacing w:after="200" w:line="276" w:lineRule="auto"/>
        <w:rPr>
          <w:rFonts w:ascii="Arial" w:hAnsi="Arial" w:cs="Times New Roman"/>
          <w:b/>
          <w:kern w:val="0"/>
        </w:rPr>
      </w:pPr>
      <w:bookmarkStart w:id="0" w:name="_Hlk206679708"/>
      <w:r>
        <w:rPr>
          <w:rFonts w:ascii="Arial" w:hAnsi="Arial" w:cs="Times New Roman" w:hint="eastAsia"/>
          <w:b/>
          <w:kern w:val="0"/>
        </w:rPr>
        <w:t>Beijing, China</w:t>
      </w:r>
      <w:r>
        <w:rPr>
          <w:rFonts w:ascii="Arial" w:eastAsia="MS Mincho" w:hAnsi="Arial" w:cs="Times New Roman"/>
          <w:b/>
          <w:kern w:val="0"/>
        </w:rPr>
        <w:t xml:space="preserve">, </w:t>
      </w:r>
      <w:r>
        <w:rPr>
          <w:rFonts w:ascii="Arial" w:hAnsi="Arial" w:cs="Times New Roman" w:hint="eastAsia"/>
          <w:b/>
          <w:kern w:val="0"/>
        </w:rPr>
        <w:t>September 15-18</w:t>
      </w:r>
      <w:r>
        <w:rPr>
          <w:rFonts w:ascii="Arial" w:eastAsia="MS Mincho" w:hAnsi="Arial" w:cs="Times New Roman"/>
          <w:b/>
          <w:kern w:val="0"/>
        </w:rPr>
        <w:t>, 2</w:t>
      </w:r>
      <w:r>
        <w:rPr>
          <w:rFonts w:ascii="Arial" w:eastAsia="t" w:hAnsi="Arial" w:cs="Times New Roman"/>
          <w:b/>
          <w:kern w:val="0"/>
        </w:rPr>
        <w:t>02</w:t>
      </w:r>
      <w:r>
        <w:rPr>
          <w:rFonts w:ascii="Arial" w:hAnsi="Arial" w:cs="Times New Roman"/>
          <w:b/>
          <w:kern w:val="0"/>
        </w:rPr>
        <w:t>5</w:t>
      </w:r>
      <w:bookmarkEnd w:id="0"/>
    </w:p>
    <w:p w14:paraId="710337E4" w14:textId="77777777" w:rsidR="00876D55" w:rsidRDefault="008A77DE">
      <w:pPr>
        <w:tabs>
          <w:tab w:val="right" w:pos="9072"/>
        </w:tabs>
        <w:snapToGrid w:val="0"/>
        <w:spacing w:before="120" w:line="276" w:lineRule="auto"/>
        <w:ind w:left="1803" w:hanging="1803"/>
        <w:rPr>
          <w:rFonts w:cs="Times New Roman"/>
          <w:b/>
          <w:bCs/>
          <w:kern w:val="0"/>
        </w:rPr>
      </w:pPr>
      <w:r>
        <w:rPr>
          <w:rFonts w:ascii="Arial" w:eastAsia="MS Mincho" w:hAnsi="Arial" w:cs="Times New Roman"/>
          <w:b/>
          <w:kern w:val="0"/>
        </w:rPr>
        <w:t>Source:</w:t>
      </w:r>
      <w:r>
        <w:rPr>
          <w:rFonts w:cs="Times New Roman"/>
          <w:b/>
          <w:kern w:val="0"/>
        </w:rPr>
        <w:tab/>
      </w:r>
      <w:r>
        <w:rPr>
          <w:rFonts w:cs="Times New Roman" w:hint="eastAsia"/>
          <w:b/>
          <w:kern w:val="0"/>
        </w:rPr>
        <w:t xml:space="preserve"> </w:t>
      </w:r>
      <w:bookmarkStart w:id="1" w:name="_Hlk206679754"/>
      <w:r>
        <w:rPr>
          <w:rFonts w:ascii="Arial" w:eastAsia="MS Mincho" w:hAnsi="Arial" w:cs="Times New Roman"/>
          <w:b/>
          <w:kern w:val="0"/>
        </w:rPr>
        <w:t>ZTE</w:t>
      </w:r>
      <w:r>
        <w:rPr>
          <w:rFonts w:ascii="Arial" w:hAnsi="Arial" w:cs="Times New Roman" w:hint="eastAsia"/>
          <w:b/>
          <w:kern w:val="0"/>
        </w:rPr>
        <w:t xml:space="preserve"> Corporation, Sanechips</w:t>
      </w:r>
      <w:bookmarkEnd w:id="1"/>
    </w:p>
    <w:p w14:paraId="238407E9" w14:textId="77777777" w:rsidR="00876D55" w:rsidRDefault="008A77DE">
      <w:pPr>
        <w:tabs>
          <w:tab w:val="center" w:pos="4536"/>
          <w:tab w:val="right" w:pos="9072"/>
        </w:tabs>
        <w:snapToGrid w:val="0"/>
        <w:spacing w:line="276" w:lineRule="auto"/>
        <w:ind w:left="1840" w:hangingChars="833" w:hanging="1840"/>
        <w:rPr>
          <w:rFonts w:cs="Times New Roman"/>
          <w:b/>
          <w:bCs/>
          <w:kern w:val="0"/>
        </w:rPr>
      </w:pPr>
      <w:r>
        <w:rPr>
          <w:rFonts w:ascii="Arial" w:eastAsia="MS Mincho" w:hAnsi="Arial" w:cs="Times New Roman"/>
          <w:b/>
          <w:kern w:val="0"/>
        </w:rPr>
        <w:t>Title:</w:t>
      </w:r>
      <w:bookmarkStart w:id="2" w:name="OLE_LINK3"/>
      <w:r>
        <w:rPr>
          <w:rFonts w:cs="Times New Roman"/>
          <w:b/>
          <w:kern w:val="0"/>
        </w:rPr>
        <w:tab/>
      </w:r>
      <w:r>
        <w:rPr>
          <w:rFonts w:cs="Times New Roman" w:hint="eastAsia"/>
          <w:b/>
          <w:kern w:val="0"/>
        </w:rPr>
        <w:t xml:space="preserve"> </w:t>
      </w:r>
      <w:r>
        <w:rPr>
          <w:rFonts w:ascii="Arial" w:hAnsi="Arial" w:cs="Times New Roman" w:hint="eastAsia"/>
          <w:b/>
          <w:kern w:val="0"/>
        </w:rPr>
        <w:t>Views on RAN KPIs for IMT-2030</w:t>
      </w:r>
      <w:bookmarkEnd w:id="2"/>
    </w:p>
    <w:p w14:paraId="1B3046A5" w14:textId="77777777" w:rsidR="00876D55" w:rsidRDefault="008A77DE">
      <w:pPr>
        <w:tabs>
          <w:tab w:val="left" w:pos="1911"/>
          <w:tab w:val="center" w:pos="4536"/>
          <w:tab w:val="right" w:pos="9072"/>
        </w:tabs>
        <w:snapToGrid w:val="0"/>
        <w:spacing w:line="276" w:lineRule="auto"/>
        <w:rPr>
          <w:rFonts w:cs="Times New Roman"/>
          <w:b/>
          <w:bCs/>
          <w:kern w:val="0"/>
        </w:rPr>
      </w:pPr>
      <w:r>
        <w:rPr>
          <w:rFonts w:ascii="Arial" w:eastAsia="MS Mincho" w:hAnsi="Arial" w:cs="Times New Roman"/>
          <w:b/>
          <w:kern w:val="0"/>
        </w:rPr>
        <w:t>Agenda Item:</w:t>
      </w:r>
      <w:r>
        <w:rPr>
          <w:rFonts w:cs="Times New Roman"/>
          <w:b/>
          <w:kern w:val="0"/>
        </w:rPr>
        <w:tab/>
      </w:r>
      <w:bookmarkStart w:id="3" w:name="_Hlk206679744"/>
      <w:r>
        <w:rPr>
          <w:rFonts w:ascii="Arial" w:hAnsi="Arial" w:cs="Times New Roman" w:hint="eastAsia"/>
          <w:b/>
          <w:kern w:val="0"/>
        </w:rPr>
        <w:t>8.2.1.2</w:t>
      </w:r>
      <w:bookmarkEnd w:id="3"/>
    </w:p>
    <w:p w14:paraId="2612E8FB" w14:textId="77777777" w:rsidR="00876D55" w:rsidRDefault="008A77DE" w:rsidP="00F06C39">
      <w:pPr>
        <w:snapToGrid w:val="0"/>
        <w:spacing w:line="276" w:lineRule="auto"/>
        <w:ind w:left="1985" w:hanging="1985"/>
        <w:rPr>
          <w:rFonts w:ascii="Arial" w:hAnsi="Arial" w:cs="Arial"/>
          <w:b/>
          <w:bCs/>
        </w:rPr>
      </w:pPr>
      <w:r>
        <w:rPr>
          <w:rFonts w:ascii="Arial" w:eastAsia="MS Mincho" w:hAnsi="Arial" w:cs="Times New Roman"/>
          <w:b/>
          <w:kern w:val="0"/>
        </w:rPr>
        <w:t>Document for:</w:t>
      </w:r>
      <w:r>
        <w:rPr>
          <w:rFonts w:cs="Times New Roman" w:hint="eastAsia"/>
          <w:b/>
          <w:kern w:val="0"/>
        </w:rPr>
        <w:t xml:space="preserve">    </w:t>
      </w:r>
      <w:r>
        <w:rPr>
          <w:rFonts w:ascii="Arial" w:eastAsia="MS Mincho" w:hAnsi="Arial" w:cs="Times New Roman"/>
          <w:b/>
          <w:kern w:val="0"/>
          <w:lang w:eastAsia="ja-JP"/>
        </w:rPr>
        <w:t>Discussion and Decision</w:t>
      </w:r>
    </w:p>
    <w:p w14:paraId="3E80B223" w14:textId="77777777" w:rsidR="00876D55" w:rsidRDefault="008A77DE" w:rsidP="00F06C39">
      <w:pPr>
        <w:pStyle w:val="1"/>
        <w:numPr>
          <w:ilvl w:val="0"/>
          <w:numId w:val="2"/>
        </w:numPr>
        <w:snapToGrid w:val="0"/>
        <w:spacing w:line="276" w:lineRule="auto"/>
        <w:rPr>
          <w:rFonts w:cs="Arial"/>
          <w:lang w:eastAsia="zh-CN"/>
        </w:rPr>
      </w:pPr>
      <w:r>
        <w:rPr>
          <w:rFonts w:ascii="Times New Roman" w:hAnsi="Times New Roman"/>
        </w:rPr>
        <w:tab/>
      </w:r>
      <w:r>
        <w:rPr>
          <w:rFonts w:cs="Arial"/>
        </w:rPr>
        <w:t>Introduction</w:t>
      </w:r>
    </w:p>
    <w:p w14:paraId="6A3EB118" w14:textId="77777777" w:rsidR="00876D55" w:rsidRDefault="008A77DE">
      <w:pPr>
        <w:snapToGrid w:val="0"/>
        <w:spacing w:beforeLines="50" w:before="120" w:afterLines="50" w:after="120"/>
        <w:rPr>
          <w:rFonts w:cs="Times New Roman"/>
          <w:sz w:val="20"/>
          <w:szCs w:val="20"/>
        </w:rPr>
      </w:pPr>
      <w:r>
        <w:rPr>
          <w:rFonts w:cs="Times New Roman" w:hint="eastAsia"/>
          <w:sz w:val="20"/>
          <w:szCs w:val="20"/>
        </w:rPr>
        <w:t>I</w:t>
      </w:r>
      <w:r>
        <w:rPr>
          <w:rFonts w:cs="Times New Roman"/>
          <w:sz w:val="20"/>
          <w:szCs w:val="20"/>
        </w:rPr>
        <w:t>n RAN#10</w:t>
      </w:r>
      <w:r>
        <w:rPr>
          <w:rFonts w:cs="Times New Roman" w:hint="eastAsia"/>
          <w:sz w:val="20"/>
          <w:szCs w:val="20"/>
        </w:rPr>
        <w:t>3 meeting</w:t>
      </w:r>
      <w:r>
        <w:rPr>
          <w:rFonts w:cs="Times New Roman"/>
          <w:sz w:val="20"/>
          <w:szCs w:val="20"/>
        </w:rPr>
        <w:t xml:space="preserve">, </w:t>
      </w:r>
      <w:r>
        <w:rPr>
          <w:rFonts w:cs="Times New Roman" w:hint="eastAsia"/>
          <w:sz w:val="20"/>
          <w:szCs w:val="20"/>
        </w:rPr>
        <w:t>the following RAN plenary work plan was agreed for IMT-2030 aspects</w:t>
      </w:r>
      <w:r>
        <w:rPr>
          <w:rFonts w:cs="Times New Roman"/>
          <w:sz w:val="20"/>
          <w:szCs w:val="20"/>
        </w:rPr>
        <w:t xml:space="preserve"> [1]</w:t>
      </w:r>
      <w:r>
        <w:rPr>
          <w:rFonts w:cs="Times New Roman" w:hint="eastAsia"/>
          <w:sz w:val="20"/>
          <w:szCs w:val="20"/>
        </w:rPr>
        <w:t xml:space="preserve"> where the RAN study includes two phases corresponding to ITU IMT-2030 TPR and 6G general aspects respectively. </w:t>
      </w:r>
    </w:p>
    <w:tbl>
      <w:tblPr>
        <w:tblStyle w:val="af5"/>
        <w:tblW w:w="0" w:type="auto"/>
        <w:tblLook w:val="04A0" w:firstRow="1" w:lastRow="0" w:firstColumn="1" w:lastColumn="0" w:noHBand="0" w:noVBand="1"/>
      </w:tblPr>
      <w:tblGrid>
        <w:gridCol w:w="9576"/>
      </w:tblGrid>
      <w:tr w:rsidR="00876D55" w14:paraId="3939EDA3" w14:textId="77777777">
        <w:tc>
          <w:tcPr>
            <w:tcW w:w="9576" w:type="dxa"/>
          </w:tcPr>
          <w:p w14:paraId="021CD165" w14:textId="77777777" w:rsidR="00876D55" w:rsidRDefault="008A77DE">
            <w:pPr>
              <w:snapToGrid w:val="0"/>
              <w:spacing w:beforeLines="50" w:before="120" w:afterLines="50" w:after="120"/>
              <w:rPr>
                <w:rFonts w:cs="Times New Roman"/>
                <w:sz w:val="20"/>
                <w:szCs w:val="20"/>
              </w:rPr>
            </w:pPr>
            <w:r>
              <w:rPr>
                <w:rFonts w:cs="Times New Roman"/>
                <w:sz w:val="20"/>
                <w:szCs w:val="20"/>
              </w:rPr>
              <w:t>RAN plenary work is split into an ITU focused SI (study item) and General RAN SI</w:t>
            </w:r>
          </w:p>
          <w:p w14:paraId="2699C3D8" w14:textId="77777777" w:rsidR="00876D55" w:rsidRDefault="008A77DE">
            <w:pPr>
              <w:numPr>
                <w:ilvl w:val="0"/>
                <w:numId w:val="3"/>
              </w:numPr>
              <w:snapToGrid w:val="0"/>
              <w:spacing w:beforeLines="50" w:before="120" w:afterLines="50" w:after="120"/>
              <w:rPr>
                <w:rFonts w:cs="Times New Roman"/>
                <w:sz w:val="20"/>
                <w:szCs w:val="20"/>
              </w:rPr>
            </w:pPr>
            <w:r>
              <w:rPr>
                <w:rFonts w:cs="Times New Roman"/>
                <w:sz w:val="20"/>
                <w:szCs w:val="20"/>
              </w:rPr>
              <w:t>IMT-2030 discussion is expected in RAN from 09/24 to 12/24</w:t>
            </w:r>
          </w:p>
          <w:p w14:paraId="73FAF921" w14:textId="77777777" w:rsidR="00876D55" w:rsidRDefault="008A77DE">
            <w:pPr>
              <w:numPr>
                <w:ilvl w:val="0"/>
                <w:numId w:val="3"/>
              </w:numPr>
              <w:snapToGrid w:val="0"/>
              <w:spacing w:beforeLines="50" w:before="120" w:afterLines="50" w:after="120"/>
              <w:rPr>
                <w:rFonts w:cs="Times New Roman"/>
                <w:sz w:val="20"/>
                <w:szCs w:val="20"/>
              </w:rPr>
            </w:pPr>
            <w:r>
              <w:rPr>
                <w:rFonts w:cs="Times New Roman"/>
                <w:sz w:val="20"/>
                <w:szCs w:val="20"/>
              </w:rPr>
              <w:t>RP SI Rel-20 focusing on ITU– IMT-2030: approval 12/24 until 06/25</w:t>
            </w:r>
          </w:p>
          <w:p w14:paraId="7E3458A7" w14:textId="77777777" w:rsidR="00876D55" w:rsidRDefault="008A77DE">
            <w:pPr>
              <w:numPr>
                <w:ilvl w:val="0"/>
                <w:numId w:val="3"/>
              </w:numPr>
              <w:snapToGrid w:val="0"/>
              <w:spacing w:beforeLines="50" w:before="120" w:afterLines="50" w:after="120"/>
              <w:rPr>
                <w:rFonts w:cs="Times New Roman"/>
                <w:sz w:val="20"/>
                <w:szCs w:val="20"/>
              </w:rPr>
            </w:pPr>
            <w:r>
              <w:rPr>
                <w:rFonts w:cs="Times New Roman"/>
                <w:sz w:val="20"/>
                <w:szCs w:val="20"/>
              </w:rPr>
              <w:t>RP SI Rel-20 focusing on 6G General: approval 03/25 (after WS), until 06/26</w:t>
            </w:r>
          </w:p>
        </w:tc>
      </w:tr>
    </w:tbl>
    <w:p w14:paraId="7E5E6080" w14:textId="77777777" w:rsidR="00876D55" w:rsidRDefault="008A77DE">
      <w:pPr>
        <w:snapToGrid w:val="0"/>
        <w:spacing w:beforeLines="50" w:before="120" w:afterLines="50" w:after="120"/>
        <w:rPr>
          <w:rFonts w:cs="Times New Roman"/>
          <w:sz w:val="20"/>
          <w:szCs w:val="20"/>
        </w:rPr>
      </w:pPr>
      <w:r>
        <w:rPr>
          <w:rFonts w:cs="Times New Roman" w:hint="eastAsia"/>
          <w:sz w:val="20"/>
          <w:szCs w:val="20"/>
        </w:rPr>
        <w:t>In RAN#106 meeting, the new SID was endorsed for Study on 6G scenarios/use cases and requirements where the first phase on ITU TPR part is included</w:t>
      </w:r>
      <w:r>
        <w:rPr>
          <w:rFonts w:cs="Times New Roman"/>
          <w:sz w:val="20"/>
          <w:szCs w:val="20"/>
        </w:rPr>
        <w:t>.</w:t>
      </w:r>
      <w:r>
        <w:rPr>
          <w:rFonts w:cs="Times New Roman" w:hint="eastAsia"/>
          <w:sz w:val="20"/>
          <w:szCs w:val="20"/>
        </w:rPr>
        <w:t xml:space="preserve"> </w:t>
      </w:r>
    </w:p>
    <w:tbl>
      <w:tblPr>
        <w:tblStyle w:val="af5"/>
        <w:tblW w:w="0" w:type="auto"/>
        <w:tblLook w:val="04A0" w:firstRow="1" w:lastRow="0" w:firstColumn="1" w:lastColumn="0" w:noHBand="0" w:noVBand="1"/>
      </w:tblPr>
      <w:tblGrid>
        <w:gridCol w:w="9576"/>
      </w:tblGrid>
      <w:tr w:rsidR="00876D55" w14:paraId="448B6857" w14:textId="77777777">
        <w:trPr>
          <w:trHeight w:val="2213"/>
        </w:trPr>
        <w:tc>
          <w:tcPr>
            <w:tcW w:w="9576" w:type="dxa"/>
          </w:tcPr>
          <w:p w14:paraId="05A909FC" w14:textId="77777777" w:rsidR="00876D55" w:rsidRDefault="008A77DE">
            <w:pPr>
              <w:snapToGrid w:val="0"/>
              <w:spacing w:beforeLines="50" w:before="120" w:afterLines="50" w:after="120"/>
              <w:rPr>
                <w:rFonts w:cs="Times New Roman"/>
                <w:bCs/>
                <w:sz w:val="20"/>
                <w:szCs w:val="20"/>
              </w:rPr>
            </w:pPr>
            <w:r>
              <w:rPr>
                <w:rFonts w:cs="Times New Roman"/>
                <w:sz w:val="20"/>
                <w:szCs w:val="20"/>
              </w:rPr>
              <w:t xml:space="preserve">This study item aims to </w:t>
            </w:r>
          </w:p>
          <w:p w14:paraId="40F0C936" w14:textId="77777777" w:rsidR="00876D55" w:rsidRDefault="008A77DE">
            <w:pPr>
              <w:numPr>
                <w:ilvl w:val="0"/>
                <w:numId w:val="4"/>
              </w:numPr>
              <w:snapToGrid w:val="0"/>
              <w:spacing w:beforeLines="50" w:before="120" w:afterLines="50" w:after="120"/>
              <w:ind w:firstLineChars="200" w:firstLine="400"/>
              <w:rPr>
                <w:rFonts w:cs="Times New Roman"/>
                <w:sz w:val="20"/>
                <w:szCs w:val="20"/>
              </w:rPr>
            </w:pPr>
            <w:r>
              <w:rPr>
                <w:rFonts w:cs="Times New Roman"/>
                <w:sz w:val="20"/>
                <w:szCs w:val="20"/>
              </w:rPr>
              <w:t>investigate a candidate set of items for minimum TPRs based on the Recommendation ITU-R M.2160, and</w:t>
            </w:r>
            <w:r>
              <w:rPr>
                <w:rFonts w:cs="Times New Roman" w:hint="eastAsia"/>
                <w:sz w:val="20"/>
                <w:szCs w:val="20"/>
              </w:rPr>
              <w:t>, where applicable,</w:t>
            </w:r>
            <w:r>
              <w:rPr>
                <w:rFonts w:cs="Times New Roman"/>
                <w:sz w:val="20"/>
                <w:szCs w:val="20"/>
              </w:rPr>
              <w:t xml:space="preserve"> the associated target values </w:t>
            </w:r>
            <w:r>
              <w:rPr>
                <w:rFonts w:cs="Times New Roman" w:hint="eastAsia"/>
                <w:sz w:val="20"/>
                <w:szCs w:val="20"/>
              </w:rPr>
              <w:t xml:space="preserve">and key assumptions </w:t>
            </w:r>
            <w:r>
              <w:rPr>
                <w:rFonts w:cs="Times New Roman"/>
                <w:sz w:val="20"/>
                <w:szCs w:val="20"/>
              </w:rPr>
              <w:t>for the identified minimum TPRs.</w:t>
            </w:r>
          </w:p>
          <w:p w14:paraId="7063ED16" w14:textId="77777777" w:rsidR="00876D55" w:rsidRDefault="008A77DE">
            <w:pPr>
              <w:numPr>
                <w:ilvl w:val="1"/>
                <w:numId w:val="4"/>
              </w:numPr>
              <w:snapToGrid w:val="0"/>
              <w:spacing w:beforeLines="50" w:before="120" w:afterLines="50" w:after="120"/>
              <w:ind w:firstLineChars="200" w:firstLine="400"/>
              <w:rPr>
                <w:rFonts w:cs="Times New Roman"/>
                <w:sz w:val="20"/>
                <w:szCs w:val="20"/>
              </w:rPr>
            </w:pPr>
            <w:r>
              <w:rPr>
                <w:rFonts w:cs="Times New Roman"/>
                <w:sz w:val="20"/>
                <w:szCs w:val="20"/>
              </w:rPr>
              <w:t xml:space="preserve">The outcome is expected to be shared </w:t>
            </w:r>
            <w:r>
              <w:rPr>
                <w:rFonts w:cs="Times New Roman" w:hint="eastAsia"/>
                <w:sz w:val="20"/>
                <w:szCs w:val="20"/>
              </w:rPr>
              <w:t xml:space="preserve">by LS </w:t>
            </w:r>
            <w:r>
              <w:rPr>
                <w:rFonts w:cs="Times New Roman"/>
                <w:sz w:val="20"/>
                <w:szCs w:val="20"/>
              </w:rPr>
              <w:t>with ITU-R WP5D, as suitable, and used as a baseline for the subsequent study 6G in RAN</w:t>
            </w:r>
          </w:p>
        </w:tc>
      </w:tr>
    </w:tbl>
    <w:p w14:paraId="332EBB7B" w14:textId="13831F8D" w:rsidR="00876D55" w:rsidRDefault="008A77DE">
      <w:pPr>
        <w:snapToGrid w:val="0"/>
        <w:spacing w:beforeLines="50" w:before="120" w:afterLines="50" w:after="120"/>
        <w:rPr>
          <w:rFonts w:cs="Times New Roman"/>
          <w:sz w:val="20"/>
          <w:szCs w:val="20"/>
        </w:rPr>
      </w:pPr>
      <w:r>
        <w:rPr>
          <w:rFonts w:cs="Times New Roman" w:hint="eastAsia"/>
          <w:sz w:val="20"/>
          <w:szCs w:val="20"/>
        </w:rPr>
        <w:t xml:space="preserve">In RAN#107, the moderator submitted a document comprising of all the proposals received from the meeting in RP-250819 </w:t>
      </w:r>
      <w:r>
        <w:rPr>
          <w:rFonts w:cs="Times New Roman"/>
          <w:sz w:val="20"/>
          <w:szCs w:val="20"/>
        </w:rPr>
        <w:fldChar w:fldCharType="begin"/>
      </w:r>
      <w:r>
        <w:rPr>
          <w:rFonts w:cs="Times New Roman"/>
          <w:sz w:val="20"/>
          <w:szCs w:val="20"/>
        </w:rPr>
        <w:instrText xml:space="preserve"> </w:instrText>
      </w:r>
      <w:r>
        <w:rPr>
          <w:rFonts w:cs="Times New Roman" w:hint="eastAsia"/>
          <w:sz w:val="20"/>
          <w:szCs w:val="20"/>
        </w:rPr>
        <w:instrText>REF _Ref195879845 \r \h</w:instrText>
      </w:r>
      <w:r>
        <w:rPr>
          <w:rFonts w:cs="Times New Roman"/>
          <w:sz w:val="20"/>
          <w:szCs w:val="20"/>
        </w:rPr>
        <w:instrText xml:space="preserve"> </w:instrText>
      </w:r>
      <w:r>
        <w:rPr>
          <w:rFonts w:cs="Times New Roman"/>
          <w:sz w:val="20"/>
          <w:szCs w:val="20"/>
        </w:rPr>
      </w:r>
      <w:r>
        <w:rPr>
          <w:rFonts w:cs="Times New Roman"/>
          <w:sz w:val="20"/>
          <w:szCs w:val="20"/>
        </w:rPr>
        <w:fldChar w:fldCharType="separate"/>
      </w:r>
      <w:r>
        <w:rPr>
          <w:rFonts w:cs="Times New Roman"/>
          <w:sz w:val="20"/>
          <w:szCs w:val="20"/>
        </w:rPr>
        <w:t>[6]</w:t>
      </w:r>
      <w:r>
        <w:rPr>
          <w:rFonts w:cs="Times New Roman"/>
          <w:sz w:val="20"/>
          <w:szCs w:val="20"/>
        </w:rPr>
        <w:fldChar w:fldCharType="end"/>
      </w:r>
      <w:r>
        <w:rPr>
          <w:rFonts w:cs="Times New Roman" w:hint="eastAsia"/>
          <w:sz w:val="20"/>
          <w:szCs w:val="20"/>
        </w:rPr>
        <w:t>.</w:t>
      </w:r>
    </w:p>
    <w:p w14:paraId="22DB2A6A" w14:textId="44EA3FC1" w:rsidR="00876D55" w:rsidRDefault="008A77DE" w:rsidP="001F720D">
      <w:pPr>
        <w:snapToGrid w:val="0"/>
        <w:spacing w:line="276" w:lineRule="auto"/>
        <w:rPr>
          <w:rFonts w:cs="Times New Roman"/>
        </w:rPr>
      </w:pPr>
      <w:r>
        <w:rPr>
          <w:rFonts w:cs="Times New Roman" w:hint="eastAsia"/>
          <w:sz w:val="20"/>
          <w:szCs w:val="20"/>
        </w:rPr>
        <w:t xml:space="preserve">In RAN#108 meeting, some preliminary agreements have been made regarding the TPRs and their values, as captured in the reply LS to ITU-R WP 5D RP-251825 </w:t>
      </w:r>
      <w:r>
        <w:rPr>
          <w:rFonts w:cs="Times New Roman"/>
          <w:sz w:val="20"/>
          <w:szCs w:val="20"/>
        </w:rPr>
        <w:fldChar w:fldCharType="begin"/>
      </w:r>
      <w:r>
        <w:rPr>
          <w:rFonts w:cs="Times New Roman"/>
          <w:sz w:val="20"/>
          <w:szCs w:val="20"/>
        </w:rPr>
        <w:instrText xml:space="preserve"> </w:instrText>
      </w:r>
      <w:r>
        <w:rPr>
          <w:rFonts w:cs="Times New Roman" w:hint="eastAsia"/>
          <w:sz w:val="20"/>
          <w:szCs w:val="20"/>
        </w:rPr>
        <w:instrText>REF _Ref204161495 \r \h</w:instrText>
      </w:r>
      <w:r>
        <w:rPr>
          <w:rFonts w:cs="Times New Roman"/>
          <w:sz w:val="20"/>
          <w:szCs w:val="20"/>
        </w:rPr>
        <w:instrText xml:space="preserve"> </w:instrText>
      </w:r>
      <w:r>
        <w:rPr>
          <w:rFonts w:cs="Times New Roman"/>
          <w:sz w:val="20"/>
          <w:szCs w:val="20"/>
        </w:rPr>
      </w:r>
      <w:r>
        <w:rPr>
          <w:rFonts w:cs="Times New Roman"/>
          <w:sz w:val="20"/>
          <w:szCs w:val="20"/>
        </w:rPr>
        <w:fldChar w:fldCharType="separate"/>
      </w:r>
      <w:r>
        <w:rPr>
          <w:rFonts w:cs="Times New Roman"/>
          <w:sz w:val="20"/>
          <w:szCs w:val="20"/>
        </w:rPr>
        <w:t>[9]</w:t>
      </w:r>
      <w:r>
        <w:rPr>
          <w:rFonts w:cs="Times New Roman"/>
          <w:sz w:val="20"/>
          <w:szCs w:val="20"/>
        </w:rPr>
        <w:fldChar w:fldCharType="end"/>
      </w:r>
      <w:r>
        <w:rPr>
          <w:rFonts w:cs="Times New Roman" w:hint="eastAsia"/>
          <w:sz w:val="20"/>
          <w:szCs w:val="20"/>
        </w:rPr>
        <w:t>. I</w:t>
      </w:r>
      <w:r>
        <w:rPr>
          <w:rFonts w:cs="Times New Roman"/>
          <w:sz w:val="20"/>
          <w:szCs w:val="20"/>
        </w:rPr>
        <w:t>n this contribution, we provide</w:t>
      </w:r>
      <w:r>
        <w:rPr>
          <w:rFonts w:cs="Times New Roman" w:hint="eastAsia"/>
          <w:sz w:val="20"/>
          <w:szCs w:val="20"/>
        </w:rPr>
        <w:t xml:space="preserve"> our views on </w:t>
      </w:r>
      <w:r>
        <w:rPr>
          <w:rFonts w:cs="Times New Roman"/>
          <w:sz w:val="20"/>
          <w:szCs w:val="20"/>
        </w:rPr>
        <w:t xml:space="preserve">some </w:t>
      </w:r>
      <w:r>
        <w:rPr>
          <w:rFonts w:cs="Times New Roman" w:hint="eastAsia"/>
          <w:sz w:val="20"/>
          <w:szCs w:val="20"/>
        </w:rPr>
        <w:t>TPR</w:t>
      </w:r>
      <w:r w:rsidR="001F720D">
        <w:rPr>
          <w:rFonts w:cs="Times New Roman" w:hint="eastAsia"/>
          <w:sz w:val="20"/>
          <w:szCs w:val="20"/>
        </w:rPr>
        <w:t xml:space="preserve"> / KPI</w:t>
      </w:r>
      <w:r>
        <w:rPr>
          <w:rFonts w:cs="Times New Roman" w:hint="eastAsia"/>
          <w:sz w:val="20"/>
          <w:szCs w:val="20"/>
        </w:rPr>
        <w:t xml:space="preserve"> values</w:t>
      </w:r>
      <w:r>
        <w:rPr>
          <w:rFonts w:cs="Times New Roman"/>
          <w:sz w:val="20"/>
          <w:szCs w:val="20"/>
        </w:rPr>
        <w:t xml:space="preserve"> that are still </w:t>
      </w:r>
      <w:r>
        <w:rPr>
          <w:rFonts w:cs="Times New Roman" w:hint="eastAsia"/>
          <w:sz w:val="20"/>
          <w:szCs w:val="20"/>
        </w:rPr>
        <w:t>pending.</w:t>
      </w:r>
    </w:p>
    <w:p w14:paraId="4CF6D7FC" w14:textId="77777777" w:rsidR="00876D55" w:rsidRDefault="008A77DE" w:rsidP="001F720D">
      <w:pPr>
        <w:pStyle w:val="1"/>
        <w:numPr>
          <w:ilvl w:val="0"/>
          <w:numId w:val="2"/>
        </w:numPr>
        <w:snapToGrid w:val="0"/>
        <w:spacing w:line="276" w:lineRule="auto"/>
        <w:rPr>
          <w:rFonts w:cs="Arial"/>
          <w:szCs w:val="22"/>
        </w:rPr>
      </w:pPr>
      <w:r>
        <w:rPr>
          <w:rFonts w:cs="Arial"/>
          <w:szCs w:val="22"/>
        </w:rPr>
        <w:t>TPR candidates and values</w:t>
      </w:r>
    </w:p>
    <w:p w14:paraId="34C8B038" w14:textId="77777777" w:rsidR="00876D55" w:rsidRPr="00F06C39" w:rsidRDefault="008A77DE">
      <w:pPr>
        <w:snapToGrid w:val="0"/>
        <w:spacing w:beforeLines="50" w:before="120" w:after="120"/>
        <w:rPr>
          <w:rFonts w:eastAsia="Times New Roman" w:cs="Times New Roman"/>
          <w:sz w:val="20"/>
          <w:szCs w:val="20"/>
        </w:rPr>
      </w:pPr>
      <w:bookmarkStart w:id="4" w:name="DocumentFor"/>
      <w:bookmarkStart w:id="5" w:name="Title"/>
      <w:bookmarkEnd w:id="4"/>
      <w:bookmarkEnd w:id="5"/>
      <w:r w:rsidRPr="00F06C39">
        <w:rPr>
          <w:rFonts w:eastAsia="Times New Roman" w:cs="Times New Roman"/>
          <w:sz w:val="20"/>
          <w:szCs w:val="20"/>
        </w:rPr>
        <w:t>In ITU-R WP5D#48 in February 2025, input documents including candidate TPR list provided by 3GPP RAN were discussed in SWG radio aspects. A preliminary list of Minimum Technical Performance Requirements (MTPRs) [4] was agreed and sent to SWG Evaluation from SWG radio aspects as shown below:</w:t>
      </w:r>
    </w:p>
    <w:p w14:paraId="121D2DBD" w14:textId="77777777" w:rsidR="00876D55" w:rsidRPr="00F06C39" w:rsidRDefault="008A77DE">
      <w:pPr>
        <w:pStyle w:val="Tabletitle"/>
        <w:snapToGrid w:val="0"/>
        <w:rPr>
          <w:rFonts w:ascii="Times New Roman" w:hAnsi="Times New Roman"/>
        </w:rPr>
      </w:pPr>
      <w:r w:rsidRPr="00F06C39">
        <w:rPr>
          <w:rFonts w:ascii="Times New Roman" w:hAnsi="Times New Roman"/>
        </w:rPr>
        <w:t>Preliminary list of Minimum Technical Performance Requirements</w:t>
      </w:r>
    </w:p>
    <w:p w14:paraId="04705387" w14:textId="77777777" w:rsidR="00876D55" w:rsidRPr="001F720D" w:rsidRDefault="008A77DE">
      <w:pPr>
        <w:pStyle w:val="Note"/>
        <w:snapToGrid w:val="0"/>
        <w:jc w:val="center"/>
        <w:rPr>
          <w:i/>
          <w:iCs/>
          <w:sz w:val="20"/>
        </w:rPr>
      </w:pPr>
      <w:r w:rsidRPr="001F720D">
        <w:rPr>
          <w:i/>
          <w:iCs/>
          <w:sz w:val="20"/>
        </w:rPr>
        <w:t>(Note: Square brackets indicate further discussion required)</w:t>
      </w:r>
    </w:p>
    <w:tbl>
      <w:tblPr>
        <w:tblStyle w:val="af5"/>
        <w:tblW w:w="0" w:type="auto"/>
        <w:jc w:val="center"/>
        <w:tblLook w:val="04A0" w:firstRow="1" w:lastRow="0" w:firstColumn="1" w:lastColumn="0" w:noHBand="0" w:noVBand="1"/>
      </w:tblPr>
      <w:tblGrid>
        <w:gridCol w:w="4955"/>
        <w:gridCol w:w="1805"/>
      </w:tblGrid>
      <w:tr w:rsidR="00876D55" w14:paraId="4556DFDB" w14:textId="77777777">
        <w:trPr>
          <w:tblHeader/>
          <w:jc w:val="center"/>
        </w:trPr>
        <w:tc>
          <w:tcPr>
            <w:tcW w:w="4955" w:type="dxa"/>
          </w:tcPr>
          <w:p w14:paraId="6441076E" w14:textId="77777777" w:rsidR="00876D55" w:rsidRPr="00F06C39" w:rsidRDefault="008A77DE">
            <w:pPr>
              <w:pStyle w:val="Tablehead"/>
              <w:snapToGrid w:val="0"/>
              <w:spacing w:before="0" w:after="0"/>
              <w:rPr>
                <w:rFonts w:ascii="Times New Roman" w:hAnsi="Times New Roman" w:cs="Times New Roman"/>
              </w:rPr>
            </w:pPr>
            <w:r w:rsidRPr="00F06C39">
              <w:rPr>
                <w:rFonts w:ascii="Times New Roman" w:hAnsi="Times New Roman" w:cs="Times New Roman"/>
              </w:rPr>
              <w:t>Minimum Technical Performance Requirement</w:t>
            </w:r>
          </w:p>
        </w:tc>
        <w:tc>
          <w:tcPr>
            <w:tcW w:w="1805" w:type="dxa"/>
          </w:tcPr>
          <w:p w14:paraId="2DC6F94E" w14:textId="77777777" w:rsidR="00876D55" w:rsidRPr="00F06C39" w:rsidRDefault="008A77DE">
            <w:pPr>
              <w:pStyle w:val="Tablehead"/>
              <w:snapToGrid w:val="0"/>
              <w:spacing w:before="0" w:after="0"/>
              <w:rPr>
                <w:rFonts w:ascii="Times New Roman" w:hAnsi="Times New Roman" w:cs="Times New Roman"/>
              </w:rPr>
            </w:pPr>
            <w:r w:rsidRPr="00F06C39">
              <w:rPr>
                <w:rFonts w:ascii="Times New Roman" w:hAnsi="Times New Roman" w:cs="Times New Roman"/>
              </w:rPr>
              <w:t>Method</w:t>
            </w:r>
          </w:p>
        </w:tc>
      </w:tr>
      <w:tr w:rsidR="00876D55" w14:paraId="33B76AB9" w14:textId="77777777">
        <w:trPr>
          <w:jc w:val="center"/>
        </w:trPr>
        <w:tc>
          <w:tcPr>
            <w:tcW w:w="4955" w:type="dxa"/>
          </w:tcPr>
          <w:p w14:paraId="30D6A914" w14:textId="77777777" w:rsidR="00876D55" w:rsidRDefault="008A77DE">
            <w:pPr>
              <w:pStyle w:val="Tabletext"/>
              <w:snapToGrid w:val="0"/>
              <w:spacing w:before="0" w:after="0"/>
            </w:pPr>
            <w:r>
              <w:t>AI-related capabilities</w:t>
            </w:r>
          </w:p>
        </w:tc>
        <w:tc>
          <w:tcPr>
            <w:tcW w:w="1805" w:type="dxa"/>
          </w:tcPr>
          <w:p w14:paraId="362139E9" w14:textId="77777777" w:rsidR="00876D55" w:rsidRDefault="008A77DE">
            <w:pPr>
              <w:pStyle w:val="Tabletext"/>
              <w:snapToGrid w:val="0"/>
              <w:spacing w:before="0" w:after="0"/>
              <w:rPr>
                <w:i/>
                <w:iCs/>
              </w:rPr>
            </w:pPr>
            <w:r>
              <w:rPr>
                <w:i/>
                <w:iCs/>
              </w:rPr>
              <w:t>(to be determined)</w:t>
            </w:r>
          </w:p>
        </w:tc>
      </w:tr>
      <w:tr w:rsidR="00876D55" w14:paraId="1EB9A53E" w14:textId="77777777">
        <w:trPr>
          <w:jc w:val="center"/>
        </w:trPr>
        <w:tc>
          <w:tcPr>
            <w:tcW w:w="4955" w:type="dxa"/>
          </w:tcPr>
          <w:p w14:paraId="1E861533" w14:textId="77777777" w:rsidR="00876D55" w:rsidRPr="001F720D" w:rsidRDefault="008A77DE">
            <w:pPr>
              <w:pStyle w:val="Tabletext"/>
              <w:snapToGrid w:val="0"/>
              <w:spacing w:before="0" w:after="0"/>
              <w:rPr>
                <w:rFonts w:eastAsia="Gulim"/>
              </w:rPr>
            </w:pPr>
            <w:r w:rsidRPr="001F720D">
              <w:rPr>
                <w:rFonts w:eastAsia="Gulim"/>
              </w:rPr>
              <w:lastRenderedPageBreak/>
              <w:t xml:space="preserve">Area traffic capacity </w:t>
            </w:r>
          </w:p>
        </w:tc>
        <w:tc>
          <w:tcPr>
            <w:tcW w:w="1805" w:type="dxa"/>
          </w:tcPr>
          <w:p w14:paraId="18E7FEC6" w14:textId="77777777" w:rsidR="00876D55" w:rsidRPr="001F720D" w:rsidRDefault="008A77DE">
            <w:pPr>
              <w:pStyle w:val="Tabletext"/>
              <w:snapToGrid w:val="0"/>
              <w:spacing w:before="0" w:after="0"/>
              <w:rPr>
                <w:rFonts w:eastAsia="Gulim"/>
              </w:rPr>
            </w:pPr>
            <w:r w:rsidRPr="001F720D">
              <w:rPr>
                <w:rFonts w:eastAsia="Gulim"/>
              </w:rPr>
              <w:t>(Quantitative)</w:t>
            </w:r>
          </w:p>
          <w:p w14:paraId="1725C314" w14:textId="77777777" w:rsidR="00876D55" w:rsidRDefault="008A77DE">
            <w:pPr>
              <w:pStyle w:val="Tabletext"/>
              <w:snapToGrid w:val="0"/>
              <w:spacing w:before="0" w:after="0"/>
              <w:rPr>
                <w:i/>
                <w:iCs/>
              </w:rPr>
            </w:pPr>
            <w:r>
              <w:t>(</w:t>
            </w:r>
            <w:r>
              <w:rPr>
                <w:i/>
                <w:iCs/>
              </w:rPr>
              <w:t>Note 1)</w:t>
            </w:r>
          </w:p>
        </w:tc>
      </w:tr>
      <w:tr w:rsidR="00876D55" w14:paraId="0D6A56BB" w14:textId="77777777">
        <w:trPr>
          <w:jc w:val="center"/>
        </w:trPr>
        <w:tc>
          <w:tcPr>
            <w:tcW w:w="4955" w:type="dxa"/>
          </w:tcPr>
          <w:p w14:paraId="5305003B" w14:textId="77777777" w:rsidR="00876D55" w:rsidRDefault="008A77DE">
            <w:pPr>
              <w:pStyle w:val="Tabletext"/>
              <w:snapToGrid w:val="0"/>
              <w:spacing w:before="0" w:after="0"/>
            </w:pPr>
            <w:r>
              <w:t>Average Spectral efficiency</w:t>
            </w:r>
          </w:p>
        </w:tc>
        <w:tc>
          <w:tcPr>
            <w:tcW w:w="1805" w:type="dxa"/>
          </w:tcPr>
          <w:p w14:paraId="01E6C6EE" w14:textId="77777777" w:rsidR="00876D55" w:rsidRDefault="008A77DE">
            <w:pPr>
              <w:pStyle w:val="Tabletext"/>
              <w:snapToGrid w:val="0"/>
              <w:spacing w:before="0" w:after="0"/>
            </w:pPr>
            <w:r w:rsidRPr="001F720D">
              <w:rPr>
                <w:rFonts w:eastAsia="Gulim"/>
              </w:rPr>
              <w:t>(Quantitative)</w:t>
            </w:r>
          </w:p>
        </w:tc>
      </w:tr>
      <w:tr w:rsidR="00876D55" w14:paraId="59C3CCC8" w14:textId="77777777">
        <w:trPr>
          <w:jc w:val="center"/>
        </w:trPr>
        <w:tc>
          <w:tcPr>
            <w:tcW w:w="4955" w:type="dxa"/>
          </w:tcPr>
          <w:p w14:paraId="438DF53D" w14:textId="77777777" w:rsidR="00876D55" w:rsidRPr="001F720D" w:rsidRDefault="008A77DE">
            <w:pPr>
              <w:pStyle w:val="Tabletext"/>
              <w:snapToGrid w:val="0"/>
              <w:spacing w:before="0" w:after="0"/>
              <w:rPr>
                <w:rFonts w:eastAsia="Gulim"/>
              </w:rPr>
            </w:pPr>
            <w:r w:rsidRPr="001F720D">
              <w:rPr>
                <w:rFonts w:eastAsia="Gulim"/>
              </w:rPr>
              <w:t>Peak spectral efficiency</w:t>
            </w:r>
          </w:p>
        </w:tc>
        <w:tc>
          <w:tcPr>
            <w:tcW w:w="1805" w:type="dxa"/>
          </w:tcPr>
          <w:p w14:paraId="38060392" w14:textId="77777777" w:rsidR="00876D55" w:rsidRPr="001F720D" w:rsidRDefault="008A77DE">
            <w:pPr>
              <w:pStyle w:val="Tabletext"/>
              <w:snapToGrid w:val="0"/>
              <w:spacing w:before="0" w:after="0"/>
              <w:rPr>
                <w:rFonts w:eastAsia="Gulim"/>
              </w:rPr>
            </w:pPr>
            <w:r w:rsidRPr="001F720D">
              <w:rPr>
                <w:rFonts w:eastAsia="Gulim"/>
              </w:rPr>
              <w:t>(Quantitative)</w:t>
            </w:r>
          </w:p>
        </w:tc>
      </w:tr>
      <w:tr w:rsidR="00876D55" w14:paraId="3B25CF35" w14:textId="77777777">
        <w:trPr>
          <w:jc w:val="center"/>
        </w:trPr>
        <w:tc>
          <w:tcPr>
            <w:tcW w:w="4955" w:type="dxa"/>
          </w:tcPr>
          <w:p w14:paraId="4793FF34" w14:textId="77777777" w:rsidR="00876D55" w:rsidRPr="001F720D" w:rsidRDefault="008A77DE">
            <w:pPr>
              <w:pStyle w:val="Tabletext"/>
              <w:snapToGrid w:val="0"/>
              <w:spacing w:before="0" w:after="0"/>
              <w:rPr>
                <w:rFonts w:eastAsia="Gulim"/>
              </w:rPr>
            </w:pPr>
            <w:r>
              <w:t>5th percentile user Spectral efficiency</w:t>
            </w:r>
          </w:p>
        </w:tc>
        <w:tc>
          <w:tcPr>
            <w:tcW w:w="1805" w:type="dxa"/>
          </w:tcPr>
          <w:p w14:paraId="13B252F9" w14:textId="77777777" w:rsidR="00876D55" w:rsidRPr="001F720D" w:rsidRDefault="008A77DE">
            <w:pPr>
              <w:pStyle w:val="Tabletext"/>
              <w:snapToGrid w:val="0"/>
              <w:spacing w:before="0" w:after="0"/>
              <w:rPr>
                <w:rFonts w:eastAsia="Gulim"/>
              </w:rPr>
            </w:pPr>
            <w:r w:rsidRPr="001F720D">
              <w:rPr>
                <w:rFonts w:eastAsia="Gulim"/>
              </w:rPr>
              <w:t>(Quantitative)</w:t>
            </w:r>
          </w:p>
        </w:tc>
      </w:tr>
      <w:tr w:rsidR="00876D55" w14:paraId="2EDB4CB7" w14:textId="77777777">
        <w:trPr>
          <w:jc w:val="center"/>
        </w:trPr>
        <w:tc>
          <w:tcPr>
            <w:tcW w:w="4955" w:type="dxa"/>
          </w:tcPr>
          <w:p w14:paraId="348AF94C" w14:textId="77777777" w:rsidR="00876D55" w:rsidRPr="001F720D" w:rsidRDefault="008A77DE">
            <w:pPr>
              <w:pStyle w:val="Tabletext"/>
              <w:snapToGrid w:val="0"/>
              <w:spacing w:before="0" w:after="0"/>
              <w:rPr>
                <w:rFonts w:eastAsia="Gulim"/>
              </w:rPr>
            </w:pPr>
            <w:r w:rsidRPr="001F720D">
              <w:rPr>
                <w:rFonts w:eastAsia="Gulim"/>
              </w:rPr>
              <w:t>Bandwidth</w:t>
            </w:r>
          </w:p>
        </w:tc>
        <w:tc>
          <w:tcPr>
            <w:tcW w:w="1805" w:type="dxa"/>
          </w:tcPr>
          <w:p w14:paraId="528AB8AB" w14:textId="77777777" w:rsidR="00876D55" w:rsidRPr="001F720D" w:rsidRDefault="008A77DE">
            <w:pPr>
              <w:pStyle w:val="Tabletext"/>
              <w:snapToGrid w:val="0"/>
              <w:spacing w:before="0" w:after="0"/>
              <w:rPr>
                <w:rFonts w:eastAsia="Gulim"/>
              </w:rPr>
            </w:pPr>
            <w:r w:rsidRPr="001F720D">
              <w:rPr>
                <w:rFonts w:eastAsia="Gulim"/>
              </w:rPr>
              <w:t>(Quantitative)</w:t>
            </w:r>
          </w:p>
        </w:tc>
      </w:tr>
      <w:tr w:rsidR="00876D55" w14:paraId="47621736" w14:textId="77777777">
        <w:trPr>
          <w:jc w:val="center"/>
        </w:trPr>
        <w:tc>
          <w:tcPr>
            <w:tcW w:w="4955" w:type="dxa"/>
          </w:tcPr>
          <w:p w14:paraId="2E1AE518" w14:textId="77777777" w:rsidR="00876D55" w:rsidRPr="001F720D" w:rsidRDefault="008A77DE">
            <w:pPr>
              <w:pStyle w:val="Tabletext"/>
              <w:snapToGrid w:val="0"/>
              <w:spacing w:before="0" w:after="0"/>
              <w:rPr>
                <w:rFonts w:eastAsia="Gulim"/>
              </w:rPr>
            </w:pPr>
            <w:r w:rsidRPr="001F720D">
              <w:rPr>
                <w:rFonts w:eastAsia="Gulim"/>
              </w:rPr>
              <w:t>Connection density</w:t>
            </w:r>
          </w:p>
        </w:tc>
        <w:tc>
          <w:tcPr>
            <w:tcW w:w="1805" w:type="dxa"/>
          </w:tcPr>
          <w:p w14:paraId="58D390AD" w14:textId="77777777" w:rsidR="00876D55" w:rsidRDefault="008A77DE">
            <w:pPr>
              <w:pStyle w:val="Tabletext"/>
              <w:snapToGrid w:val="0"/>
              <w:spacing w:before="0" w:after="0"/>
            </w:pPr>
            <w:r w:rsidRPr="001F720D">
              <w:rPr>
                <w:rFonts w:eastAsia="Gulim"/>
              </w:rPr>
              <w:t>(Quantitative)</w:t>
            </w:r>
          </w:p>
        </w:tc>
      </w:tr>
      <w:tr w:rsidR="00876D55" w14:paraId="66F75E74" w14:textId="77777777">
        <w:trPr>
          <w:jc w:val="center"/>
        </w:trPr>
        <w:tc>
          <w:tcPr>
            <w:tcW w:w="4955" w:type="dxa"/>
          </w:tcPr>
          <w:p w14:paraId="19214EB5" w14:textId="77777777" w:rsidR="00876D55" w:rsidRDefault="008A77DE">
            <w:pPr>
              <w:pStyle w:val="Tabletext"/>
              <w:snapToGrid w:val="0"/>
              <w:spacing w:before="0" w:after="0"/>
            </w:pPr>
            <w:r>
              <w:t xml:space="preserve">Control plane latency </w:t>
            </w:r>
          </w:p>
        </w:tc>
        <w:tc>
          <w:tcPr>
            <w:tcW w:w="1805" w:type="dxa"/>
          </w:tcPr>
          <w:p w14:paraId="2DD5324C" w14:textId="77777777" w:rsidR="00876D55" w:rsidRDefault="008A77DE">
            <w:pPr>
              <w:pStyle w:val="Tabletext"/>
              <w:snapToGrid w:val="0"/>
              <w:spacing w:before="0" w:after="0"/>
            </w:pPr>
            <w:r w:rsidRPr="001F720D">
              <w:rPr>
                <w:rFonts w:eastAsia="Gulim"/>
              </w:rPr>
              <w:t>(Quantitative)</w:t>
            </w:r>
          </w:p>
        </w:tc>
      </w:tr>
      <w:tr w:rsidR="00876D55" w14:paraId="3DD78084" w14:textId="77777777">
        <w:trPr>
          <w:jc w:val="center"/>
        </w:trPr>
        <w:tc>
          <w:tcPr>
            <w:tcW w:w="4955" w:type="dxa"/>
          </w:tcPr>
          <w:p w14:paraId="3AEF87F8" w14:textId="77777777" w:rsidR="00876D55" w:rsidRPr="001F720D" w:rsidRDefault="008A77DE">
            <w:pPr>
              <w:pStyle w:val="Tabletext"/>
              <w:snapToGrid w:val="0"/>
              <w:spacing w:before="0" w:after="0"/>
              <w:rPr>
                <w:rFonts w:eastAsia="Gulim"/>
              </w:rPr>
            </w:pPr>
            <w:r w:rsidRPr="001F720D">
              <w:rPr>
                <w:rFonts w:eastAsia="Gulim"/>
              </w:rPr>
              <w:t xml:space="preserve">User plane latency </w:t>
            </w:r>
          </w:p>
        </w:tc>
        <w:tc>
          <w:tcPr>
            <w:tcW w:w="1805" w:type="dxa"/>
          </w:tcPr>
          <w:p w14:paraId="12400A4A" w14:textId="77777777" w:rsidR="00876D55" w:rsidRPr="001F720D" w:rsidRDefault="008A77DE">
            <w:pPr>
              <w:pStyle w:val="Tabletext"/>
              <w:snapToGrid w:val="0"/>
              <w:spacing w:before="0" w:after="0"/>
              <w:rPr>
                <w:rFonts w:eastAsia="Gulim"/>
              </w:rPr>
            </w:pPr>
            <w:r w:rsidRPr="001F720D">
              <w:rPr>
                <w:rFonts w:eastAsia="Gulim"/>
              </w:rPr>
              <w:t>(Quantitative)</w:t>
            </w:r>
          </w:p>
        </w:tc>
      </w:tr>
      <w:tr w:rsidR="00876D55" w14:paraId="6F0E7FF0" w14:textId="77777777">
        <w:trPr>
          <w:jc w:val="center"/>
        </w:trPr>
        <w:tc>
          <w:tcPr>
            <w:tcW w:w="4955" w:type="dxa"/>
          </w:tcPr>
          <w:p w14:paraId="0F6A144F" w14:textId="77777777" w:rsidR="00876D55" w:rsidRDefault="008A77DE">
            <w:pPr>
              <w:pStyle w:val="Tabletext"/>
              <w:snapToGrid w:val="0"/>
              <w:spacing w:before="0" w:after="0"/>
            </w:pPr>
            <w:r>
              <w:t xml:space="preserve">Energy Efficiency </w:t>
            </w:r>
          </w:p>
        </w:tc>
        <w:tc>
          <w:tcPr>
            <w:tcW w:w="1805" w:type="dxa"/>
          </w:tcPr>
          <w:p w14:paraId="7399D1B2" w14:textId="77777777" w:rsidR="00876D55" w:rsidRDefault="008A77DE">
            <w:pPr>
              <w:pStyle w:val="Tabletext"/>
              <w:snapToGrid w:val="0"/>
              <w:spacing w:before="0" w:after="0"/>
            </w:pPr>
            <w:r w:rsidRPr="001F720D">
              <w:rPr>
                <w:rFonts w:eastAsia="Gulim"/>
              </w:rPr>
              <w:t>(Quantitative)</w:t>
            </w:r>
          </w:p>
        </w:tc>
      </w:tr>
      <w:tr w:rsidR="00876D55" w14:paraId="1CCA908B" w14:textId="77777777">
        <w:trPr>
          <w:jc w:val="center"/>
        </w:trPr>
        <w:tc>
          <w:tcPr>
            <w:tcW w:w="4955" w:type="dxa"/>
          </w:tcPr>
          <w:p w14:paraId="1A4F1825" w14:textId="77777777" w:rsidR="00876D55" w:rsidRDefault="008A77DE">
            <w:pPr>
              <w:pStyle w:val="Tabletext"/>
              <w:snapToGrid w:val="0"/>
              <w:spacing w:before="0" w:after="0"/>
            </w:pPr>
            <w:r>
              <w:t>Mobility</w:t>
            </w:r>
          </w:p>
        </w:tc>
        <w:tc>
          <w:tcPr>
            <w:tcW w:w="1805" w:type="dxa"/>
          </w:tcPr>
          <w:p w14:paraId="675E03F4" w14:textId="77777777" w:rsidR="00876D55" w:rsidRDefault="008A77DE">
            <w:pPr>
              <w:pStyle w:val="Tabletext"/>
              <w:snapToGrid w:val="0"/>
              <w:spacing w:before="0" w:after="0"/>
            </w:pPr>
            <w:r>
              <w:t xml:space="preserve"> </w:t>
            </w:r>
            <w:r w:rsidRPr="001F720D">
              <w:rPr>
                <w:rFonts w:eastAsia="Gulim"/>
              </w:rPr>
              <w:t>(Quantitative)</w:t>
            </w:r>
          </w:p>
        </w:tc>
      </w:tr>
      <w:tr w:rsidR="00876D55" w14:paraId="2E95D3C3" w14:textId="77777777">
        <w:trPr>
          <w:jc w:val="center"/>
        </w:trPr>
        <w:tc>
          <w:tcPr>
            <w:tcW w:w="4955" w:type="dxa"/>
          </w:tcPr>
          <w:p w14:paraId="2217E35D" w14:textId="77777777" w:rsidR="00876D55" w:rsidRPr="001F720D" w:rsidRDefault="008A77DE">
            <w:pPr>
              <w:pStyle w:val="Tabletext"/>
              <w:snapToGrid w:val="0"/>
              <w:spacing w:before="0" w:after="0"/>
              <w:rPr>
                <w:rFonts w:eastAsia="Gulim"/>
              </w:rPr>
            </w:pPr>
            <w:r w:rsidRPr="001F720D">
              <w:rPr>
                <w:rFonts w:eastAsia="Gulim"/>
              </w:rPr>
              <w:t xml:space="preserve">Mobility interruption time </w:t>
            </w:r>
          </w:p>
        </w:tc>
        <w:tc>
          <w:tcPr>
            <w:tcW w:w="1805" w:type="dxa"/>
          </w:tcPr>
          <w:p w14:paraId="097A297A" w14:textId="77777777" w:rsidR="00876D55" w:rsidRDefault="008A77DE">
            <w:pPr>
              <w:pStyle w:val="Tabletext"/>
              <w:snapToGrid w:val="0"/>
              <w:spacing w:before="0" w:after="0"/>
            </w:pPr>
            <w:r w:rsidRPr="001F720D">
              <w:rPr>
                <w:rFonts w:eastAsia="Gulim"/>
              </w:rPr>
              <w:t>(Quantitative)</w:t>
            </w:r>
          </w:p>
        </w:tc>
      </w:tr>
      <w:tr w:rsidR="00876D55" w14:paraId="70FF7C4D" w14:textId="77777777">
        <w:trPr>
          <w:jc w:val="center"/>
        </w:trPr>
        <w:tc>
          <w:tcPr>
            <w:tcW w:w="4955" w:type="dxa"/>
          </w:tcPr>
          <w:p w14:paraId="44E99A49" w14:textId="77777777" w:rsidR="00876D55" w:rsidRPr="001F720D" w:rsidRDefault="008A77DE">
            <w:pPr>
              <w:pStyle w:val="Tabletext"/>
              <w:snapToGrid w:val="0"/>
              <w:spacing w:before="0" w:after="0"/>
              <w:rPr>
                <w:rFonts w:eastAsia="Gulim"/>
              </w:rPr>
            </w:pPr>
            <w:r w:rsidRPr="001F720D">
              <w:rPr>
                <w:rFonts w:eastAsia="Gulim"/>
              </w:rPr>
              <w:t>Peak data rate</w:t>
            </w:r>
          </w:p>
        </w:tc>
        <w:tc>
          <w:tcPr>
            <w:tcW w:w="1805" w:type="dxa"/>
          </w:tcPr>
          <w:p w14:paraId="50D0B012" w14:textId="77777777" w:rsidR="00876D55" w:rsidRPr="001F720D" w:rsidRDefault="008A77DE">
            <w:pPr>
              <w:pStyle w:val="Tabletext"/>
              <w:snapToGrid w:val="0"/>
              <w:spacing w:before="0" w:after="0"/>
              <w:rPr>
                <w:rFonts w:eastAsia="Gulim"/>
              </w:rPr>
            </w:pPr>
            <w:r w:rsidRPr="001F720D">
              <w:rPr>
                <w:rFonts w:eastAsia="Gulim"/>
              </w:rPr>
              <w:t>(Quantitative)</w:t>
            </w:r>
          </w:p>
        </w:tc>
      </w:tr>
      <w:tr w:rsidR="00876D55" w14:paraId="3100012A" w14:textId="77777777">
        <w:trPr>
          <w:jc w:val="center"/>
        </w:trPr>
        <w:tc>
          <w:tcPr>
            <w:tcW w:w="4955" w:type="dxa"/>
          </w:tcPr>
          <w:p w14:paraId="1450870B" w14:textId="77777777" w:rsidR="00876D55" w:rsidRPr="001F720D" w:rsidRDefault="008A77DE">
            <w:pPr>
              <w:pStyle w:val="Tabletext"/>
              <w:snapToGrid w:val="0"/>
              <w:spacing w:before="0" w:after="0"/>
              <w:rPr>
                <w:rFonts w:eastAsia="Gulim"/>
              </w:rPr>
            </w:pPr>
            <w:r w:rsidRPr="001F720D">
              <w:rPr>
                <w:rFonts w:eastAsia="Gulim"/>
              </w:rPr>
              <w:t>User Experienced Data Rate</w:t>
            </w:r>
          </w:p>
        </w:tc>
        <w:tc>
          <w:tcPr>
            <w:tcW w:w="1805" w:type="dxa"/>
          </w:tcPr>
          <w:p w14:paraId="70596837" w14:textId="77777777" w:rsidR="00876D55" w:rsidRPr="001F720D" w:rsidRDefault="008A77DE">
            <w:pPr>
              <w:pStyle w:val="Tabletext"/>
              <w:snapToGrid w:val="0"/>
              <w:spacing w:before="0" w:after="0"/>
              <w:rPr>
                <w:rFonts w:eastAsia="Gulim"/>
              </w:rPr>
            </w:pPr>
            <w:r w:rsidRPr="001F720D">
              <w:rPr>
                <w:rFonts w:eastAsia="Gulim"/>
              </w:rPr>
              <w:t>(Quantitative)</w:t>
            </w:r>
          </w:p>
        </w:tc>
      </w:tr>
      <w:tr w:rsidR="00876D55" w14:paraId="3FC614EF" w14:textId="77777777">
        <w:trPr>
          <w:jc w:val="center"/>
        </w:trPr>
        <w:tc>
          <w:tcPr>
            <w:tcW w:w="4955" w:type="dxa"/>
          </w:tcPr>
          <w:p w14:paraId="68397369" w14:textId="77777777" w:rsidR="00876D55" w:rsidRPr="001F720D" w:rsidRDefault="008A77DE">
            <w:pPr>
              <w:pStyle w:val="Tabletext"/>
              <w:snapToGrid w:val="0"/>
              <w:spacing w:before="0" w:after="0"/>
              <w:rPr>
                <w:rFonts w:eastAsia="Gulim"/>
              </w:rPr>
            </w:pPr>
            <w:r w:rsidRPr="001F720D">
              <w:rPr>
                <w:rFonts w:eastAsia="Gulim"/>
              </w:rPr>
              <w:t>Sensing-related capabilities</w:t>
            </w:r>
          </w:p>
        </w:tc>
        <w:tc>
          <w:tcPr>
            <w:tcW w:w="1805" w:type="dxa"/>
          </w:tcPr>
          <w:p w14:paraId="7F0D6419" w14:textId="77777777" w:rsidR="00876D55" w:rsidRPr="001F720D" w:rsidRDefault="008A77DE">
            <w:pPr>
              <w:pStyle w:val="Tabletext"/>
              <w:snapToGrid w:val="0"/>
              <w:spacing w:before="0" w:after="0"/>
              <w:rPr>
                <w:rFonts w:eastAsia="Gulim"/>
              </w:rPr>
            </w:pPr>
            <w:r w:rsidRPr="001F720D">
              <w:rPr>
                <w:rFonts w:eastAsia="Gulim"/>
              </w:rPr>
              <w:t>(Quantitative)</w:t>
            </w:r>
          </w:p>
        </w:tc>
      </w:tr>
      <w:tr w:rsidR="00876D55" w14:paraId="5C1CF260" w14:textId="77777777">
        <w:trPr>
          <w:jc w:val="center"/>
        </w:trPr>
        <w:tc>
          <w:tcPr>
            <w:tcW w:w="4955" w:type="dxa"/>
          </w:tcPr>
          <w:p w14:paraId="2D1DE66C" w14:textId="77777777" w:rsidR="00876D55" w:rsidRPr="001F720D" w:rsidRDefault="008A77DE">
            <w:pPr>
              <w:pStyle w:val="Tabletext"/>
              <w:snapToGrid w:val="0"/>
              <w:spacing w:before="0" w:after="0"/>
              <w:rPr>
                <w:rFonts w:eastAsia="Gulim"/>
              </w:rPr>
            </w:pPr>
            <w:r w:rsidRPr="001F720D">
              <w:rPr>
                <w:rFonts w:eastAsia="Gulim"/>
              </w:rPr>
              <w:t>Positioning</w:t>
            </w:r>
          </w:p>
        </w:tc>
        <w:tc>
          <w:tcPr>
            <w:tcW w:w="1805" w:type="dxa"/>
          </w:tcPr>
          <w:p w14:paraId="6F1D8FA7" w14:textId="77777777" w:rsidR="00876D55" w:rsidRPr="001F720D" w:rsidRDefault="008A77DE">
            <w:pPr>
              <w:pStyle w:val="Tabletext"/>
              <w:snapToGrid w:val="0"/>
              <w:spacing w:before="0" w:after="0"/>
              <w:rPr>
                <w:rFonts w:eastAsia="Gulim"/>
              </w:rPr>
            </w:pPr>
            <w:r w:rsidRPr="001F720D">
              <w:rPr>
                <w:rFonts w:eastAsia="Gulim"/>
              </w:rPr>
              <w:t>(Quantitative)</w:t>
            </w:r>
          </w:p>
        </w:tc>
      </w:tr>
      <w:tr w:rsidR="00876D55" w14:paraId="7C5D360E" w14:textId="77777777">
        <w:trPr>
          <w:jc w:val="center"/>
        </w:trPr>
        <w:tc>
          <w:tcPr>
            <w:tcW w:w="4955" w:type="dxa"/>
          </w:tcPr>
          <w:p w14:paraId="5D8B3EB1" w14:textId="77777777" w:rsidR="00876D55" w:rsidRPr="001F720D" w:rsidRDefault="008A77DE">
            <w:pPr>
              <w:pStyle w:val="Tabletext"/>
              <w:snapToGrid w:val="0"/>
              <w:spacing w:before="0" w:after="0"/>
              <w:rPr>
                <w:rFonts w:eastAsia="Gulim"/>
              </w:rPr>
            </w:pPr>
            <w:r w:rsidRPr="001F720D">
              <w:rPr>
                <w:rFonts w:eastAsia="Gulim"/>
              </w:rPr>
              <w:t>Reliability</w:t>
            </w:r>
          </w:p>
        </w:tc>
        <w:tc>
          <w:tcPr>
            <w:tcW w:w="1805" w:type="dxa"/>
          </w:tcPr>
          <w:p w14:paraId="41F0E2C5" w14:textId="77777777" w:rsidR="00876D55" w:rsidRPr="001F720D" w:rsidRDefault="008A77DE">
            <w:pPr>
              <w:pStyle w:val="Tabletext"/>
              <w:snapToGrid w:val="0"/>
              <w:spacing w:before="0" w:after="0"/>
              <w:rPr>
                <w:rFonts w:eastAsia="Gulim"/>
              </w:rPr>
            </w:pPr>
            <w:r w:rsidRPr="001F720D">
              <w:rPr>
                <w:rFonts w:eastAsia="Gulim"/>
              </w:rPr>
              <w:t>(Quantitative)</w:t>
            </w:r>
          </w:p>
          <w:p w14:paraId="51386A92" w14:textId="77777777" w:rsidR="00876D55" w:rsidRPr="001F720D" w:rsidRDefault="008A77DE">
            <w:pPr>
              <w:pStyle w:val="Tabletext"/>
              <w:snapToGrid w:val="0"/>
              <w:spacing w:before="0" w:after="0"/>
              <w:rPr>
                <w:rFonts w:eastAsia="Gulim"/>
                <w:i/>
                <w:iCs/>
              </w:rPr>
            </w:pPr>
            <w:r w:rsidRPr="001F720D">
              <w:rPr>
                <w:rFonts w:eastAsia="Gulim"/>
                <w:i/>
                <w:iCs/>
              </w:rPr>
              <w:t>(Note 2)</w:t>
            </w:r>
          </w:p>
        </w:tc>
      </w:tr>
      <w:tr w:rsidR="00876D55" w14:paraId="28E4916A" w14:textId="77777777">
        <w:trPr>
          <w:trHeight w:val="207"/>
          <w:jc w:val="center"/>
        </w:trPr>
        <w:tc>
          <w:tcPr>
            <w:tcW w:w="4955" w:type="dxa"/>
          </w:tcPr>
          <w:p w14:paraId="1EEFC12E" w14:textId="77777777" w:rsidR="00876D55" w:rsidRDefault="008A77DE">
            <w:pPr>
              <w:pStyle w:val="Tabletext"/>
              <w:snapToGrid w:val="0"/>
              <w:spacing w:before="0" w:after="0"/>
              <w:rPr>
                <w:rFonts w:eastAsia="Gulim"/>
              </w:rPr>
            </w:pPr>
            <w:r w:rsidRPr="001F720D">
              <w:rPr>
                <w:rFonts w:eastAsia="Gulim"/>
              </w:rPr>
              <w:t>[Joint requirement on data rate, latency</w:t>
            </w:r>
            <w:r>
              <w:rPr>
                <w:rFonts w:eastAsia="Gulim"/>
              </w:rPr>
              <w:t>, reliability and capacity]</w:t>
            </w:r>
          </w:p>
        </w:tc>
        <w:tc>
          <w:tcPr>
            <w:tcW w:w="1805" w:type="dxa"/>
          </w:tcPr>
          <w:p w14:paraId="6ED2D28E" w14:textId="77777777" w:rsidR="00876D55" w:rsidRDefault="008A77DE">
            <w:pPr>
              <w:pStyle w:val="Tabletext"/>
              <w:snapToGrid w:val="0"/>
              <w:spacing w:before="0" w:after="0"/>
              <w:rPr>
                <w:rFonts w:eastAsia="Gulim"/>
                <w:i/>
                <w:iCs/>
              </w:rPr>
            </w:pPr>
            <w:r>
              <w:rPr>
                <w:rFonts w:eastAsia="Gulim"/>
                <w:i/>
                <w:iCs/>
              </w:rPr>
              <w:t>To be determined</w:t>
            </w:r>
          </w:p>
        </w:tc>
      </w:tr>
      <w:tr w:rsidR="00876D55" w14:paraId="22172751" w14:textId="77777777">
        <w:trPr>
          <w:trHeight w:val="203"/>
          <w:jc w:val="center"/>
        </w:trPr>
        <w:tc>
          <w:tcPr>
            <w:tcW w:w="4955" w:type="dxa"/>
          </w:tcPr>
          <w:p w14:paraId="63AB64D9" w14:textId="77777777" w:rsidR="00876D55" w:rsidRDefault="008A77DE">
            <w:pPr>
              <w:pStyle w:val="Tabletext"/>
              <w:snapToGrid w:val="0"/>
              <w:spacing w:before="0" w:after="0"/>
            </w:pPr>
            <w:r>
              <w:rPr>
                <w:rFonts w:eastAsia="Gulim"/>
              </w:rPr>
              <w:t>[</w:t>
            </w:r>
            <w:r w:rsidRPr="001F720D">
              <w:rPr>
                <w:rFonts w:eastAsia="Gulim"/>
              </w:rPr>
              <w:t>Coverage</w:t>
            </w:r>
            <w:r>
              <w:rPr>
                <w:rFonts w:eastAsia="Gulim"/>
              </w:rPr>
              <w:t>]</w:t>
            </w:r>
          </w:p>
        </w:tc>
        <w:tc>
          <w:tcPr>
            <w:tcW w:w="1805" w:type="dxa"/>
          </w:tcPr>
          <w:p w14:paraId="4148D4C3" w14:textId="77777777" w:rsidR="00876D55" w:rsidRPr="001F720D" w:rsidRDefault="008A77DE">
            <w:pPr>
              <w:pStyle w:val="Tabletext"/>
              <w:snapToGrid w:val="0"/>
              <w:spacing w:before="0" w:after="0"/>
              <w:rPr>
                <w:rFonts w:eastAsia="Gulim"/>
                <w:i/>
                <w:iCs/>
              </w:rPr>
            </w:pPr>
            <w:r>
              <w:rPr>
                <w:rFonts w:eastAsia="Gulim"/>
                <w:i/>
                <w:iCs/>
              </w:rPr>
              <w:t>To be determined</w:t>
            </w:r>
          </w:p>
        </w:tc>
      </w:tr>
      <w:tr w:rsidR="00876D55" w14:paraId="3FF02A17" w14:textId="77777777">
        <w:trPr>
          <w:trHeight w:val="203"/>
          <w:jc w:val="center"/>
        </w:trPr>
        <w:tc>
          <w:tcPr>
            <w:tcW w:w="4955" w:type="dxa"/>
          </w:tcPr>
          <w:p w14:paraId="6D4C062C" w14:textId="77777777" w:rsidR="00876D55" w:rsidRDefault="008A77DE">
            <w:pPr>
              <w:pStyle w:val="Tabletext"/>
              <w:snapToGrid w:val="0"/>
              <w:spacing w:before="0" w:after="0"/>
            </w:pPr>
            <w:r>
              <w:t>[Security]</w:t>
            </w:r>
          </w:p>
        </w:tc>
        <w:tc>
          <w:tcPr>
            <w:tcW w:w="1805" w:type="dxa"/>
          </w:tcPr>
          <w:p w14:paraId="1895A539" w14:textId="77777777" w:rsidR="00876D55" w:rsidRPr="001F720D" w:rsidRDefault="008A77DE">
            <w:pPr>
              <w:pStyle w:val="Tabletext"/>
              <w:snapToGrid w:val="0"/>
              <w:spacing w:before="0" w:after="0"/>
              <w:rPr>
                <w:rFonts w:eastAsia="Gulim"/>
                <w:i/>
                <w:iCs/>
              </w:rPr>
            </w:pPr>
            <w:r>
              <w:rPr>
                <w:rFonts w:eastAsia="Gulim"/>
                <w:i/>
                <w:iCs/>
              </w:rPr>
              <w:t>To be determined</w:t>
            </w:r>
          </w:p>
        </w:tc>
      </w:tr>
      <w:tr w:rsidR="00876D55" w14:paraId="723291CD" w14:textId="77777777">
        <w:trPr>
          <w:trHeight w:val="203"/>
          <w:jc w:val="center"/>
        </w:trPr>
        <w:tc>
          <w:tcPr>
            <w:tcW w:w="4955" w:type="dxa"/>
          </w:tcPr>
          <w:p w14:paraId="7B8B7889" w14:textId="77777777" w:rsidR="00876D55" w:rsidRPr="001F720D" w:rsidRDefault="008A77DE">
            <w:pPr>
              <w:pStyle w:val="Tabletext"/>
              <w:snapToGrid w:val="0"/>
              <w:spacing w:before="0" w:after="0"/>
              <w:rPr>
                <w:rFonts w:eastAsia="Gulim"/>
              </w:rPr>
            </w:pPr>
            <w:r>
              <w:t>[Resilience]</w:t>
            </w:r>
          </w:p>
        </w:tc>
        <w:tc>
          <w:tcPr>
            <w:tcW w:w="1805" w:type="dxa"/>
          </w:tcPr>
          <w:p w14:paraId="309C2B36" w14:textId="77777777" w:rsidR="00876D55" w:rsidRPr="001F720D" w:rsidRDefault="008A77DE">
            <w:pPr>
              <w:pStyle w:val="Tabletext"/>
              <w:snapToGrid w:val="0"/>
              <w:spacing w:before="0" w:after="0"/>
              <w:rPr>
                <w:rFonts w:eastAsia="Gulim"/>
                <w:i/>
                <w:iCs/>
              </w:rPr>
            </w:pPr>
            <w:r>
              <w:rPr>
                <w:rFonts w:eastAsia="Gulim"/>
                <w:i/>
                <w:iCs/>
              </w:rPr>
              <w:t>To be determined</w:t>
            </w:r>
          </w:p>
        </w:tc>
      </w:tr>
      <w:tr w:rsidR="00876D55" w14:paraId="59D21989" w14:textId="77777777">
        <w:trPr>
          <w:trHeight w:val="203"/>
          <w:jc w:val="center"/>
        </w:trPr>
        <w:tc>
          <w:tcPr>
            <w:tcW w:w="4955" w:type="dxa"/>
          </w:tcPr>
          <w:p w14:paraId="191067DA" w14:textId="77777777" w:rsidR="00876D55" w:rsidRPr="001F720D" w:rsidRDefault="008A77DE">
            <w:pPr>
              <w:pStyle w:val="Tabletext"/>
              <w:snapToGrid w:val="0"/>
              <w:spacing w:before="0" w:after="0"/>
              <w:rPr>
                <w:rFonts w:eastAsia="Gulim"/>
              </w:rPr>
            </w:pPr>
            <w:r>
              <w:t>[Sustainability]</w:t>
            </w:r>
          </w:p>
        </w:tc>
        <w:tc>
          <w:tcPr>
            <w:tcW w:w="1805" w:type="dxa"/>
          </w:tcPr>
          <w:p w14:paraId="256CCBC5" w14:textId="77777777" w:rsidR="00876D55" w:rsidRPr="001F720D" w:rsidRDefault="008A77DE">
            <w:pPr>
              <w:pStyle w:val="Tabletext"/>
              <w:snapToGrid w:val="0"/>
              <w:spacing w:before="0" w:after="0"/>
              <w:rPr>
                <w:rFonts w:eastAsia="Gulim"/>
                <w:i/>
                <w:iCs/>
              </w:rPr>
            </w:pPr>
            <w:r>
              <w:rPr>
                <w:rFonts w:eastAsia="Gulim"/>
                <w:i/>
                <w:iCs/>
              </w:rPr>
              <w:t>To be determined</w:t>
            </w:r>
          </w:p>
        </w:tc>
      </w:tr>
      <w:tr w:rsidR="00876D55" w14:paraId="5860B673" w14:textId="77777777">
        <w:trPr>
          <w:trHeight w:val="203"/>
          <w:jc w:val="center"/>
        </w:trPr>
        <w:tc>
          <w:tcPr>
            <w:tcW w:w="4955" w:type="dxa"/>
          </w:tcPr>
          <w:p w14:paraId="6C2A75DB" w14:textId="77777777" w:rsidR="00876D55" w:rsidRDefault="008A77DE">
            <w:pPr>
              <w:pStyle w:val="Tabletext"/>
              <w:snapToGrid w:val="0"/>
              <w:spacing w:before="0" w:after="0"/>
            </w:pPr>
            <w:r>
              <w:t>[Interoperability]</w:t>
            </w:r>
          </w:p>
        </w:tc>
        <w:tc>
          <w:tcPr>
            <w:tcW w:w="1805" w:type="dxa"/>
          </w:tcPr>
          <w:p w14:paraId="33F851A3" w14:textId="77777777" w:rsidR="00876D55" w:rsidRPr="001F720D" w:rsidRDefault="008A77DE">
            <w:pPr>
              <w:pStyle w:val="Tabletext"/>
              <w:snapToGrid w:val="0"/>
              <w:spacing w:before="0" w:after="0"/>
              <w:rPr>
                <w:rFonts w:eastAsia="Gulim"/>
                <w:i/>
                <w:iCs/>
              </w:rPr>
            </w:pPr>
            <w:r>
              <w:rPr>
                <w:rFonts w:eastAsia="Gulim"/>
                <w:i/>
                <w:iCs/>
              </w:rPr>
              <w:t>To be determined</w:t>
            </w:r>
          </w:p>
        </w:tc>
      </w:tr>
    </w:tbl>
    <w:p w14:paraId="11444A9F" w14:textId="77777777" w:rsidR="00876D55" w:rsidRDefault="008A77DE">
      <w:pPr>
        <w:pStyle w:val="Note"/>
        <w:snapToGrid w:val="0"/>
        <w:rPr>
          <w:rFonts w:eastAsia="Tahoma"/>
          <w:i/>
          <w:iCs/>
          <w:sz w:val="20"/>
        </w:rPr>
      </w:pPr>
      <w:r>
        <w:rPr>
          <w:rFonts w:eastAsia="Tahoma"/>
          <w:i/>
          <w:iCs/>
          <w:sz w:val="20"/>
        </w:rPr>
        <w:t>Note 1: The evaluation technique for quantitative requirements is determined by SWG Eval (e.g., analysis, simulation, etc.).</w:t>
      </w:r>
    </w:p>
    <w:p w14:paraId="03EF7E5F" w14:textId="77777777" w:rsidR="00876D55" w:rsidRDefault="008A77DE">
      <w:pPr>
        <w:pStyle w:val="Note"/>
        <w:snapToGrid w:val="0"/>
        <w:rPr>
          <w:rFonts w:eastAsia="Tahoma"/>
          <w:i/>
          <w:iCs/>
          <w:sz w:val="20"/>
        </w:rPr>
      </w:pPr>
      <w:r>
        <w:rPr>
          <w:rFonts w:eastAsia="Tahoma"/>
          <w:i/>
          <w:iCs/>
          <w:sz w:val="20"/>
        </w:rPr>
        <w:t>Note 2: The reliability requirement may be replaced by the “Joint Requirement” (if agreed).</w:t>
      </w:r>
    </w:p>
    <w:p w14:paraId="15CFB65D" w14:textId="77777777" w:rsidR="00876D55" w:rsidRPr="00F06C39" w:rsidRDefault="00876D55" w:rsidP="00F06C39">
      <w:pPr>
        <w:snapToGrid w:val="0"/>
        <w:spacing w:line="276" w:lineRule="auto"/>
        <w:rPr>
          <w:rFonts w:cs="Times New Roman"/>
          <w:sz w:val="20"/>
          <w:szCs w:val="20"/>
        </w:rPr>
      </w:pPr>
    </w:p>
    <w:p w14:paraId="5C93DBEF" w14:textId="77777777" w:rsidR="00876D55" w:rsidRPr="00F06C39" w:rsidRDefault="008A77DE" w:rsidP="00F06C39">
      <w:pPr>
        <w:snapToGrid w:val="0"/>
        <w:spacing w:beforeLines="50" w:before="120" w:afterLines="50" w:after="120"/>
        <w:rPr>
          <w:rFonts w:cs="Times New Roman"/>
          <w:sz w:val="20"/>
          <w:szCs w:val="20"/>
        </w:rPr>
      </w:pPr>
      <w:r w:rsidRPr="00F06C39">
        <w:rPr>
          <w:rFonts w:cs="Times New Roman"/>
          <w:sz w:val="20"/>
          <w:szCs w:val="20"/>
        </w:rPr>
        <w:t xml:space="preserve">Coverage refers to the ability to provide access to communication services for users in a desired service area. In TR 38.913, coverage and extreme coverage are already defined as a KPI in section 7.10 and 7.10.1 which are evaluated by calculating </w:t>
      </w:r>
      <w:proofErr w:type="spellStart"/>
      <w:r w:rsidRPr="00F06C39">
        <w:rPr>
          <w:rFonts w:cs="Times New Roman"/>
          <w:sz w:val="20"/>
          <w:szCs w:val="20"/>
        </w:rPr>
        <w:t>MaxCL</w:t>
      </w:r>
      <w:proofErr w:type="spellEnd"/>
      <w:r w:rsidRPr="00F06C39">
        <w:rPr>
          <w:rFonts w:cs="Times New Roman"/>
          <w:sz w:val="20"/>
          <w:szCs w:val="20"/>
        </w:rPr>
        <w:t>. We believe in IMT-2030, this definition can be re-used.</w:t>
      </w:r>
    </w:p>
    <w:p w14:paraId="2F694AF9" w14:textId="77777777" w:rsidR="00876D55" w:rsidRPr="00F06C39" w:rsidRDefault="008A77DE" w:rsidP="00F06C39">
      <w:pPr>
        <w:snapToGrid w:val="0"/>
        <w:spacing w:beforeLines="50" w:before="120" w:afterLines="50" w:after="120"/>
        <w:rPr>
          <w:rFonts w:cs="Times New Roman"/>
          <w:b/>
          <w:sz w:val="20"/>
          <w:szCs w:val="20"/>
        </w:rPr>
      </w:pPr>
      <w:r w:rsidRPr="00F06C39">
        <w:rPr>
          <w:rFonts w:cs="Times New Roman"/>
          <w:b/>
          <w:sz w:val="20"/>
          <w:szCs w:val="20"/>
        </w:rPr>
        <w:t xml:space="preserve">Proposal </w:t>
      </w:r>
      <w:r w:rsidRPr="00F06C39">
        <w:rPr>
          <w:rFonts w:cs="Times New Roman"/>
          <w:b/>
          <w:sz w:val="20"/>
          <w:szCs w:val="20"/>
        </w:rPr>
        <w:fldChar w:fldCharType="begin"/>
      </w:r>
      <w:r w:rsidRPr="00F06C39">
        <w:rPr>
          <w:rFonts w:cs="Times New Roman"/>
          <w:b/>
          <w:sz w:val="20"/>
          <w:szCs w:val="20"/>
        </w:rPr>
        <w:instrText xml:space="preserve"> SEQ Proposal \* ARABIC </w:instrText>
      </w:r>
      <w:r w:rsidRPr="00F06C39">
        <w:rPr>
          <w:rFonts w:cs="Times New Roman"/>
          <w:b/>
          <w:sz w:val="20"/>
          <w:szCs w:val="20"/>
        </w:rPr>
        <w:fldChar w:fldCharType="separate"/>
      </w:r>
      <w:r w:rsidRPr="00F06C39">
        <w:rPr>
          <w:rFonts w:cs="Times New Roman"/>
          <w:b/>
          <w:sz w:val="20"/>
          <w:szCs w:val="20"/>
        </w:rPr>
        <w:t>1</w:t>
      </w:r>
      <w:r w:rsidRPr="00F06C39">
        <w:rPr>
          <w:rFonts w:cs="Times New Roman"/>
          <w:b/>
          <w:sz w:val="20"/>
          <w:szCs w:val="20"/>
        </w:rPr>
        <w:fldChar w:fldCharType="end"/>
      </w:r>
      <w:r w:rsidRPr="00F06C39">
        <w:rPr>
          <w:rFonts w:cs="Times New Roman"/>
          <w:b/>
          <w:sz w:val="20"/>
          <w:szCs w:val="20"/>
        </w:rPr>
        <w:t xml:space="preserve">: Do not define new KPIs for coverage, </w:t>
      </w:r>
      <w:r>
        <w:rPr>
          <w:rFonts w:cs="Times New Roman" w:hint="eastAsia"/>
          <w:b/>
          <w:sz w:val="20"/>
          <w:szCs w:val="20"/>
        </w:rPr>
        <w:t xml:space="preserve">i.e. </w:t>
      </w:r>
      <w:r w:rsidRPr="00F06C39">
        <w:rPr>
          <w:rFonts w:cs="Times New Roman"/>
          <w:b/>
          <w:sz w:val="20"/>
          <w:szCs w:val="20"/>
        </w:rPr>
        <w:t>re-use the definition in section 7.10 in TR 38.913.</w:t>
      </w:r>
    </w:p>
    <w:p w14:paraId="756E028D" w14:textId="77777777" w:rsidR="00876D55" w:rsidRDefault="00876D55" w:rsidP="00F06C39">
      <w:pPr>
        <w:snapToGrid w:val="0"/>
        <w:spacing w:beforeLines="50" w:before="120" w:afterLines="50" w:after="120"/>
        <w:rPr>
          <w:rFonts w:cs="Times New Roman"/>
          <w:sz w:val="20"/>
          <w:szCs w:val="20"/>
        </w:rPr>
      </w:pPr>
    </w:p>
    <w:p w14:paraId="1864E219" w14:textId="77777777" w:rsidR="00876D55" w:rsidRPr="00F06C39" w:rsidRDefault="008A77DE" w:rsidP="00F06C39">
      <w:pPr>
        <w:snapToGrid w:val="0"/>
        <w:spacing w:beforeLines="50" w:before="120" w:afterLines="50" w:after="120"/>
        <w:rPr>
          <w:rFonts w:cs="Times New Roman"/>
          <w:sz w:val="20"/>
          <w:szCs w:val="20"/>
        </w:rPr>
      </w:pPr>
      <w:r w:rsidRPr="00F06C39">
        <w:rPr>
          <w:rFonts w:cs="Times New Roman"/>
          <w:sz w:val="20"/>
          <w:szCs w:val="20"/>
        </w:rPr>
        <w:t>It can also be noted that 3GPP NR technologies passed the ITU-R IMT-2020 requirements with huge margins for some TPRs, for instance, DL peak data rate can be as high as 171.2 Gbps (in FR2), which is more than 8 times higher than IMT-2020 TPR on DL peak data rate. NR can also achieve 64.6 Gbps (in FR2) UL peak data rate, which is already 6 times higher than IMT-2020 TPR. Thus, even if we propose to set the TPR of peak data rate to be 5 times higher than IMT-2020, it can be seen as a moderately advanced goal as NR can already satisfy this goal.</w:t>
      </w:r>
    </w:p>
    <w:p w14:paraId="71428AC2" w14:textId="77777777" w:rsidR="00876D55" w:rsidRPr="00F06C39" w:rsidRDefault="008A77DE" w:rsidP="00F06C39">
      <w:pPr>
        <w:snapToGrid w:val="0"/>
        <w:spacing w:beforeLines="50" w:before="120" w:afterLines="50" w:after="120"/>
        <w:rPr>
          <w:rFonts w:cs="Times New Roman"/>
          <w:sz w:val="20"/>
          <w:szCs w:val="20"/>
        </w:rPr>
      </w:pPr>
      <w:r w:rsidRPr="00F06C39">
        <w:rPr>
          <w:rFonts w:cs="Times New Roman"/>
          <w:b/>
          <w:sz w:val="20"/>
          <w:szCs w:val="20"/>
        </w:rPr>
        <w:t xml:space="preserve">Observation </w:t>
      </w:r>
      <w:r w:rsidRPr="00F06C39">
        <w:rPr>
          <w:rFonts w:cs="Times New Roman"/>
          <w:b/>
          <w:bCs/>
          <w:sz w:val="20"/>
          <w:szCs w:val="20"/>
        </w:rPr>
        <w:fldChar w:fldCharType="begin"/>
      </w:r>
      <w:r w:rsidRPr="00F06C39">
        <w:rPr>
          <w:rFonts w:cs="Times New Roman"/>
          <w:b/>
          <w:sz w:val="20"/>
          <w:szCs w:val="20"/>
        </w:rPr>
        <w:instrText xml:space="preserve"> SEQ Observation \* ARABIC </w:instrText>
      </w:r>
      <w:r w:rsidRPr="00F06C39">
        <w:rPr>
          <w:rFonts w:cs="Times New Roman"/>
          <w:b/>
          <w:bCs/>
          <w:sz w:val="20"/>
          <w:szCs w:val="20"/>
        </w:rPr>
        <w:fldChar w:fldCharType="separate"/>
      </w:r>
      <w:r w:rsidRPr="00F06C39">
        <w:rPr>
          <w:rFonts w:cs="Times New Roman"/>
          <w:b/>
          <w:sz w:val="20"/>
          <w:szCs w:val="20"/>
        </w:rPr>
        <w:t>1</w:t>
      </w:r>
      <w:r w:rsidRPr="00F06C39">
        <w:rPr>
          <w:rFonts w:cs="Times New Roman"/>
          <w:b/>
          <w:bCs/>
          <w:sz w:val="20"/>
          <w:szCs w:val="20"/>
        </w:rPr>
        <w:fldChar w:fldCharType="end"/>
      </w:r>
      <w:r w:rsidRPr="00F06C39">
        <w:rPr>
          <w:rFonts w:cs="Times New Roman"/>
          <w:b/>
          <w:sz w:val="20"/>
          <w:szCs w:val="20"/>
        </w:rPr>
        <w:t xml:space="preserve">: </w:t>
      </w:r>
      <w:r w:rsidRPr="00F06C39">
        <w:rPr>
          <w:rFonts w:cs="Times New Roman"/>
          <w:sz w:val="20"/>
          <w:szCs w:val="20"/>
        </w:rPr>
        <w:t xml:space="preserve">According to TR 37.910 “Study on </w:t>
      </w:r>
      <w:proofErr w:type="spellStart"/>
      <w:r w:rsidRPr="00F06C39">
        <w:rPr>
          <w:rFonts w:cs="Times New Roman"/>
          <w:sz w:val="20"/>
          <w:szCs w:val="20"/>
        </w:rPr>
        <w:t>self evaluation</w:t>
      </w:r>
      <w:proofErr w:type="spellEnd"/>
      <w:r w:rsidRPr="00F06C39">
        <w:rPr>
          <w:rFonts w:cs="Times New Roman"/>
          <w:sz w:val="20"/>
          <w:szCs w:val="20"/>
        </w:rPr>
        <w:t xml:space="preserve"> towards IMT-2020 submission”, many of the proposed IMT-2020 TPR target values are met by 3GPP NR technologies with a huge margin.</w:t>
      </w:r>
    </w:p>
    <w:p w14:paraId="20D21EBA" w14:textId="77777777" w:rsidR="00876D55" w:rsidRDefault="00876D55" w:rsidP="00F06C39">
      <w:pPr>
        <w:snapToGrid w:val="0"/>
        <w:spacing w:beforeLines="50" w:before="120" w:afterLines="50" w:after="120"/>
        <w:rPr>
          <w:rFonts w:cs="Times New Roman"/>
          <w:sz w:val="20"/>
          <w:szCs w:val="20"/>
        </w:rPr>
      </w:pPr>
    </w:p>
    <w:p w14:paraId="37F18EED" w14:textId="4DE4CBA0" w:rsidR="00876D55" w:rsidRPr="00F06C39" w:rsidRDefault="008A77DE" w:rsidP="00F06C39">
      <w:pPr>
        <w:snapToGrid w:val="0"/>
        <w:spacing w:beforeLines="50" w:before="120" w:afterLines="50" w:after="120"/>
        <w:rPr>
          <w:rFonts w:cs="Times New Roman"/>
          <w:sz w:val="20"/>
          <w:szCs w:val="20"/>
        </w:rPr>
      </w:pPr>
      <w:r w:rsidRPr="00F06C39">
        <w:rPr>
          <w:rFonts w:cs="Times New Roman"/>
          <w:sz w:val="20"/>
          <w:szCs w:val="20"/>
        </w:rPr>
        <w:t xml:space="preserve">During the discussions happening in the ITU-R WP 5D, when discussing the TPR values, members also discuss the related configurations. For instance, to achieve 5 times higher peak data rate, it may imply at least 2 times </w:t>
      </w:r>
      <w:r>
        <w:rPr>
          <w:rFonts w:cs="Times New Roman" w:hint="eastAsia"/>
          <w:sz w:val="20"/>
          <w:szCs w:val="20"/>
        </w:rPr>
        <w:t>larger</w:t>
      </w:r>
      <w:r w:rsidRPr="00F06C39">
        <w:rPr>
          <w:rFonts w:cs="Times New Roman"/>
          <w:sz w:val="20"/>
          <w:szCs w:val="20"/>
        </w:rPr>
        <w:t xml:space="preserve"> </w:t>
      </w:r>
      <w:r w:rsidRPr="00F06C39">
        <w:rPr>
          <w:rFonts w:cs="Times New Roman"/>
          <w:sz w:val="20"/>
          <w:szCs w:val="20"/>
        </w:rPr>
        <w:lastRenderedPageBreak/>
        <w:t xml:space="preserve">bandwidth. To achieve 2.5 times higher peak spectral efficiency, 16 MIMO layers may be supported compared to 8 MIMO layers assumed for IMT-2020. We want to provide some observations on how to correctly interpret the relationship between ITU IMT-2030 TPRs and 3GPP configurations, as well as how a candidate technology can be seen as satisfying IMT-2030 evaluations. From ITU-R M.2412 </w:t>
      </w:r>
      <w:r w:rsidRPr="00F06C39">
        <w:rPr>
          <w:rFonts w:cs="Times New Roman"/>
          <w:sz w:val="20"/>
          <w:szCs w:val="20"/>
        </w:rPr>
        <w:fldChar w:fldCharType="begin"/>
      </w:r>
      <w:r w:rsidRPr="00F06C39">
        <w:rPr>
          <w:rFonts w:cs="Times New Roman"/>
          <w:sz w:val="20"/>
          <w:szCs w:val="20"/>
        </w:rPr>
        <w:instrText xml:space="preserve"> REF _Ref195880377 \r \h </w:instrText>
      </w:r>
      <w:r w:rsidRPr="00F06C39">
        <w:rPr>
          <w:rFonts w:cs="Times New Roman"/>
          <w:sz w:val="20"/>
          <w:szCs w:val="20"/>
        </w:rPr>
      </w:r>
      <w:r w:rsidRPr="00F06C39">
        <w:rPr>
          <w:rFonts w:cs="Times New Roman"/>
          <w:sz w:val="20"/>
          <w:szCs w:val="20"/>
        </w:rPr>
        <w:fldChar w:fldCharType="separate"/>
      </w:r>
      <w:r w:rsidRPr="00F06C39">
        <w:rPr>
          <w:rFonts w:cs="Times New Roman"/>
          <w:sz w:val="20"/>
          <w:szCs w:val="20"/>
        </w:rPr>
        <w:t>[11]</w:t>
      </w:r>
      <w:r w:rsidRPr="00F06C39">
        <w:rPr>
          <w:rFonts w:cs="Times New Roman"/>
          <w:sz w:val="20"/>
          <w:szCs w:val="20"/>
        </w:rPr>
        <w:fldChar w:fldCharType="end"/>
      </w:r>
      <w:r w:rsidRPr="00F06C39">
        <w:rPr>
          <w:rFonts w:cs="Times New Roman"/>
          <w:sz w:val="20"/>
          <w:szCs w:val="20"/>
        </w:rPr>
        <w:t xml:space="preserve">, </w:t>
      </w:r>
    </w:p>
    <w:tbl>
      <w:tblPr>
        <w:tblStyle w:val="af5"/>
        <w:tblW w:w="0" w:type="auto"/>
        <w:tblLook w:val="04A0" w:firstRow="1" w:lastRow="0" w:firstColumn="1" w:lastColumn="0" w:noHBand="0" w:noVBand="1"/>
      </w:tblPr>
      <w:tblGrid>
        <w:gridCol w:w="9629"/>
      </w:tblGrid>
      <w:tr w:rsidR="00876D55" w14:paraId="2C65740B" w14:textId="77777777">
        <w:tc>
          <w:tcPr>
            <w:tcW w:w="9855" w:type="dxa"/>
          </w:tcPr>
          <w:p w14:paraId="4904ED45" w14:textId="77777777" w:rsidR="00876D55" w:rsidRPr="00F06C39" w:rsidRDefault="008A77DE" w:rsidP="00F06C39">
            <w:pPr>
              <w:pStyle w:val="2"/>
              <w:snapToGrid w:val="0"/>
              <w:spacing w:line="240" w:lineRule="auto"/>
              <w:rPr>
                <w:rFonts w:ascii="Times New Roman" w:hAnsi="Times New Roman"/>
                <w:lang w:eastAsia="zh-CN"/>
              </w:rPr>
            </w:pPr>
            <w:r w:rsidRPr="00F06C39">
              <w:rPr>
                <w:rFonts w:ascii="Times New Roman" w:hAnsi="Times New Roman"/>
                <w:lang w:eastAsia="zh-CN"/>
              </w:rPr>
              <w:t>8.4</w:t>
            </w:r>
            <w:r w:rsidRPr="00F06C39">
              <w:rPr>
                <w:rFonts w:ascii="Times New Roman" w:hAnsi="Times New Roman"/>
                <w:lang w:eastAsia="zh-CN"/>
              </w:rPr>
              <w:tab/>
            </w:r>
            <w:r w:rsidRPr="00F06C39">
              <w:rPr>
                <w:rFonts w:ascii="Times New Roman" w:hAnsi="Times New Roman"/>
              </w:rPr>
              <w:t>Evaluation configurations</w:t>
            </w:r>
          </w:p>
          <w:p w14:paraId="5D0F3B5E" w14:textId="77777777" w:rsidR="00876D55" w:rsidRDefault="008A77DE" w:rsidP="00F06C39">
            <w:pPr>
              <w:snapToGrid w:val="0"/>
              <w:rPr>
                <w:rFonts w:cs="Times New Roman"/>
              </w:rPr>
            </w:pPr>
            <w:r w:rsidRPr="00F06C39">
              <w:rPr>
                <w:rFonts w:cs="Times New Roman"/>
                <w:sz w:val="20"/>
                <w:szCs w:val="20"/>
              </w:rPr>
              <w:t xml:space="preserve">Evaluation configurations are defined for the selected test environments. The configuration parameters shall be applied in analytical and simulation assessments of candidate RITs/SRITs. </w:t>
            </w:r>
            <w:r w:rsidRPr="00F06C39">
              <w:rPr>
                <w:rFonts w:eastAsia="MS Mincho" w:cs="Times New Roman"/>
                <w:sz w:val="20"/>
                <w:szCs w:val="20"/>
                <w:lang w:eastAsia="ja-JP"/>
              </w:rPr>
              <w:t>For the cases when</w:t>
            </w:r>
            <w:r w:rsidRPr="00F06C39">
              <w:rPr>
                <w:rFonts w:cs="Times New Roman"/>
                <w:sz w:val="20"/>
                <w:szCs w:val="20"/>
              </w:rPr>
              <w:t xml:space="preserve"> there are multiple evaluation configurations under the selected test environment, </w:t>
            </w:r>
            <w:r w:rsidRPr="00F06C39">
              <w:rPr>
                <w:rFonts w:cs="Times New Roman"/>
                <w:sz w:val="20"/>
                <w:szCs w:val="20"/>
                <w:highlight w:val="green"/>
              </w:rPr>
              <w:t>one of the evaluation configurations under that test environment can be used</w:t>
            </w:r>
            <w:r w:rsidRPr="00F06C39">
              <w:rPr>
                <w:rFonts w:cs="Times New Roman"/>
                <w:sz w:val="20"/>
                <w:szCs w:val="20"/>
              </w:rPr>
              <w:t xml:space="preserve"> to test the candidate RITs/SRITs. </w:t>
            </w:r>
            <w:r w:rsidRPr="00F06C39">
              <w:rPr>
                <w:rFonts w:cs="Times New Roman"/>
                <w:sz w:val="20"/>
                <w:szCs w:val="20"/>
                <w:highlight w:val="green"/>
              </w:rPr>
              <w:t>The technical performance requirement corresponding to that test environment is fulfi</w:t>
            </w:r>
            <w:r w:rsidRPr="00F06C39">
              <w:rPr>
                <w:rFonts w:eastAsia="MS Mincho" w:cs="Times New Roman"/>
                <w:sz w:val="20"/>
                <w:szCs w:val="20"/>
                <w:highlight w:val="green"/>
                <w:lang w:eastAsia="ja-JP"/>
              </w:rPr>
              <w:t>l</w:t>
            </w:r>
            <w:r w:rsidRPr="00F06C39">
              <w:rPr>
                <w:rFonts w:cs="Times New Roman"/>
                <w:sz w:val="20"/>
                <w:szCs w:val="20"/>
                <w:highlight w:val="green"/>
              </w:rPr>
              <w:t xml:space="preserve">led if this requirement is met </w:t>
            </w:r>
            <w:r w:rsidRPr="00F06C39">
              <w:rPr>
                <w:rFonts w:eastAsia="MS Mincho" w:cs="Times New Roman"/>
                <w:sz w:val="20"/>
                <w:szCs w:val="20"/>
                <w:highlight w:val="green"/>
                <w:lang w:eastAsia="ja-JP"/>
              </w:rPr>
              <w:t>for</w:t>
            </w:r>
            <w:r w:rsidRPr="00F06C39">
              <w:rPr>
                <w:rFonts w:eastAsia="Malgun Gothic" w:cs="Times New Roman"/>
                <w:sz w:val="20"/>
                <w:szCs w:val="20"/>
                <w:highlight w:val="green"/>
                <w:lang w:eastAsia="ko-KR"/>
              </w:rPr>
              <w:t xml:space="preserve"> one of </w:t>
            </w:r>
            <w:r w:rsidRPr="00F06C39">
              <w:rPr>
                <w:rFonts w:cs="Times New Roman"/>
                <w:sz w:val="20"/>
                <w:szCs w:val="20"/>
                <w:highlight w:val="green"/>
              </w:rPr>
              <w:t xml:space="preserve">the </w:t>
            </w:r>
            <w:r w:rsidRPr="00F06C39">
              <w:rPr>
                <w:rFonts w:eastAsia="Malgun Gothic" w:cs="Times New Roman"/>
                <w:sz w:val="20"/>
                <w:szCs w:val="20"/>
                <w:highlight w:val="green"/>
                <w:lang w:eastAsia="ko-KR"/>
              </w:rPr>
              <w:t>evaluation configurations</w:t>
            </w:r>
            <w:r w:rsidRPr="00F06C39">
              <w:rPr>
                <w:rFonts w:cs="Times New Roman"/>
                <w:sz w:val="20"/>
                <w:szCs w:val="20"/>
                <w:highlight w:val="green"/>
              </w:rPr>
              <w:t xml:space="preserve"> </w:t>
            </w:r>
            <w:r w:rsidRPr="00F06C39">
              <w:rPr>
                <w:rFonts w:eastAsia="MS Mincho" w:cs="Times New Roman"/>
                <w:sz w:val="20"/>
                <w:szCs w:val="20"/>
                <w:highlight w:val="green"/>
                <w:lang w:eastAsia="ja-JP"/>
              </w:rPr>
              <w:t>under</w:t>
            </w:r>
            <w:r w:rsidRPr="00F06C39">
              <w:rPr>
                <w:rFonts w:cs="Times New Roman"/>
                <w:sz w:val="20"/>
                <w:szCs w:val="20"/>
                <w:highlight w:val="green"/>
              </w:rPr>
              <w:t xml:space="preserve"> that specific test environment.</w:t>
            </w:r>
          </w:p>
        </w:tc>
      </w:tr>
    </w:tbl>
    <w:p w14:paraId="4B219D3E" w14:textId="77777777" w:rsidR="00876D55" w:rsidRPr="00F06C39" w:rsidRDefault="008A77DE" w:rsidP="00F06C39">
      <w:pPr>
        <w:snapToGrid w:val="0"/>
        <w:spacing w:before="120" w:after="120"/>
        <w:rPr>
          <w:rFonts w:cs="Times New Roman"/>
          <w:sz w:val="20"/>
          <w:szCs w:val="20"/>
        </w:rPr>
      </w:pPr>
      <w:r w:rsidRPr="00F06C39">
        <w:rPr>
          <w:rFonts w:cs="Times New Roman"/>
          <w:sz w:val="20"/>
          <w:szCs w:val="20"/>
        </w:rPr>
        <w:t>It is clear that from ITU perspective, a technology proposal meets the requirement if any of a supported configuration meets the requirement.</w:t>
      </w:r>
    </w:p>
    <w:p w14:paraId="639A25CB" w14:textId="77777777" w:rsidR="00876D55" w:rsidRPr="00F06C39" w:rsidRDefault="008A77DE" w:rsidP="00F06C39">
      <w:pPr>
        <w:snapToGrid w:val="0"/>
        <w:spacing w:before="120" w:after="120"/>
        <w:rPr>
          <w:rFonts w:cs="Times New Roman"/>
          <w:b/>
          <w:sz w:val="20"/>
          <w:szCs w:val="20"/>
        </w:rPr>
      </w:pPr>
      <w:bookmarkStart w:id="6" w:name="_Ref21077807"/>
      <w:bookmarkStart w:id="7" w:name="_Ref32606436"/>
      <w:r w:rsidRPr="00F06C39">
        <w:rPr>
          <w:rFonts w:cs="Times New Roman"/>
          <w:b/>
          <w:sz w:val="20"/>
          <w:szCs w:val="20"/>
        </w:rPr>
        <w:t xml:space="preserve">Observation </w:t>
      </w:r>
      <w:r w:rsidRPr="00F06C39">
        <w:rPr>
          <w:rFonts w:cs="Times New Roman"/>
          <w:b/>
          <w:bCs/>
          <w:sz w:val="20"/>
          <w:szCs w:val="20"/>
        </w:rPr>
        <w:fldChar w:fldCharType="begin"/>
      </w:r>
      <w:r w:rsidRPr="00F06C39">
        <w:rPr>
          <w:rFonts w:cs="Times New Roman"/>
          <w:b/>
          <w:sz w:val="20"/>
          <w:szCs w:val="20"/>
        </w:rPr>
        <w:instrText xml:space="preserve"> SEQ Observation \* ARABIC </w:instrText>
      </w:r>
      <w:r w:rsidRPr="00F06C39">
        <w:rPr>
          <w:rFonts w:cs="Times New Roman"/>
          <w:b/>
          <w:bCs/>
          <w:sz w:val="20"/>
          <w:szCs w:val="20"/>
        </w:rPr>
        <w:fldChar w:fldCharType="separate"/>
      </w:r>
      <w:r w:rsidRPr="00F06C39">
        <w:rPr>
          <w:rFonts w:cs="Times New Roman"/>
          <w:b/>
          <w:sz w:val="20"/>
          <w:szCs w:val="20"/>
        </w:rPr>
        <w:t>2</w:t>
      </w:r>
      <w:r w:rsidRPr="00F06C39">
        <w:rPr>
          <w:rFonts w:cs="Times New Roman"/>
          <w:b/>
          <w:bCs/>
          <w:sz w:val="20"/>
          <w:szCs w:val="20"/>
        </w:rPr>
        <w:fldChar w:fldCharType="end"/>
      </w:r>
      <w:r w:rsidRPr="00F06C39">
        <w:rPr>
          <w:rFonts w:cs="Times New Roman"/>
          <w:b/>
          <w:sz w:val="20"/>
          <w:szCs w:val="20"/>
        </w:rPr>
        <w:t xml:space="preserve">: </w:t>
      </w:r>
      <w:bookmarkEnd w:id="6"/>
      <w:bookmarkEnd w:id="7"/>
      <w:r w:rsidRPr="00F06C39">
        <w:rPr>
          <w:rFonts w:cs="Times New Roman"/>
          <w:sz w:val="20"/>
          <w:szCs w:val="20"/>
        </w:rPr>
        <w:t>From ITU evaluation perspective, a technology proposal meets the requirement if any of a supported configuration meets the requirement.</w:t>
      </w:r>
    </w:p>
    <w:p w14:paraId="2BA8C785" w14:textId="77777777" w:rsidR="00876D55" w:rsidRPr="00F06C39" w:rsidRDefault="008A77DE" w:rsidP="00F06C39">
      <w:pPr>
        <w:snapToGrid w:val="0"/>
        <w:spacing w:before="120" w:after="120"/>
        <w:rPr>
          <w:rFonts w:cs="Times New Roman"/>
          <w:sz w:val="20"/>
          <w:szCs w:val="20"/>
        </w:rPr>
      </w:pPr>
      <w:r w:rsidRPr="00F06C39">
        <w:rPr>
          <w:rFonts w:cs="Times New Roman"/>
          <w:sz w:val="20"/>
          <w:szCs w:val="20"/>
        </w:rPr>
        <w:t xml:space="preserve">As reflected by some previous discussions, the phrase ‘minimum’ TPR by ITU can cause misunderstanding. Some may worry that a ‘minimum’ TPR means that all configurations of a technology must all meet such requirements, while this is certainly not the case. </w:t>
      </w:r>
    </w:p>
    <w:p w14:paraId="04FB0CF1" w14:textId="77777777" w:rsidR="00876D55" w:rsidRPr="00F06C39" w:rsidRDefault="008A77DE" w:rsidP="00F06C39">
      <w:pPr>
        <w:snapToGrid w:val="0"/>
        <w:spacing w:before="120" w:after="120"/>
        <w:rPr>
          <w:rFonts w:cs="Times New Roman"/>
          <w:b/>
          <w:sz w:val="20"/>
          <w:szCs w:val="20"/>
        </w:rPr>
      </w:pPr>
      <w:r w:rsidRPr="00F06C39">
        <w:rPr>
          <w:rFonts w:cs="Times New Roman"/>
          <w:b/>
          <w:sz w:val="20"/>
          <w:szCs w:val="20"/>
        </w:rPr>
        <w:t xml:space="preserve">Observation </w:t>
      </w:r>
      <w:r w:rsidRPr="00F06C39">
        <w:rPr>
          <w:rFonts w:cs="Times New Roman"/>
          <w:b/>
          <w:bCs/>
          <w:sz w:val="20"/>
          <w:szCs w:val="20"/>
        </w:rPr>
        <w:fldChar w:fldCharType="begin"/>
      </w:r>
      <w:r w:rsidRPr="00F06C39">
        <w:rPr>
          <w:rFonts w:cs="Times New Roman"/>
          <w:b/>
          <w:sz w:val="20"/>
          <w:szCs w:val="20"/>
        </w:rPr>
        <w:instrText xml:space="preserve"> SEQ Observation \* ARABIC </w:instrText>
      </w:r>
      <w:r w:rsidRPr="00F06C39">
        <w:rPr>
          <w:rFonts w:cs="Times New Roman"/>
          <w:b/>
          <w:bCs/>
          <w:sz w:val="20"/>
          <w:szCs w:val="20"/>
        </w:rPr>
        <w:fldChar w:fldCharType="separate"/>
      </w:r>
      <w:r w:rsidRPr="00F06C39">
        <w:rPr>
          <w:rFonts w:cs="Times New Roman"/>
          <w:b/>
          <w:sz w:val="20"/>
          <w:szCs w:val="20"/>
        </w:rPr>
        <w:t>3</w:t>
      </w:r>
      <w:r w:rsidRPr="00F06C39">
        <w:rPr>
          <w:rFonts w:cs="Times New Roman"/>
          <w:b/>
          <w:bCs/>
          <w:sz w:val="20"/>
          <w:szCs w:val="20"/>
        </w:rPr>
        <w:fldChar w:fldCharType="end"/>
      </w:r>
      <w:r w:rsidRPr="00F06C39">
        <w:rPr>
          <w:rFonts w:cs="Times New Roman"/>
          <w:b/>
          <w:sz w:val="20"/>
          <w:szCs w:val="20"/>
        </w:rPr>
        <w:t xml:space="preserve">: </w:t>
      </w:r>
      <w:r w:rsidRPr="00F06C39">
        <w:rPr>
          <w:rFonts w:cs="Times New Roman"/>
          <w:sz w:val="20"/>
          <w:szCs w:val="20"/>
        </w:rPr>
        <w:t>The ITU ‘minimum’ TPR can be met by using any of the configuration supported by a technology, or, equivalently, the configuration resulting the best performance.</w:t>
      </w:r>
    </w:p>
    <w:p w14:paraId="2E2C21F0" w14:textId="77777777" w:rsidR="00876D55" w:rsidRPr="00F06C39" w:rsidRDefault="008A77DE" w:rsidP="00F06C39">
      <w:pPr>
        <w:snapToGrid w:val="0"/>
        <w:spacing w:before="120" w:after="120"/>
        <w:rPr>
          <w:rFonts w:cs="Times New Roman"/>
          <w:sz w:val="20"/>
          <w:szCs w:val="20"/>
        </w:rPr>
      </w:pPr>
      <w:r w:rsidRPr="00F06C39">
        <w:rPr>
          <w:rFonts w:cs="Times New Roman"/>
          <w:sz w:val="20"/>
          <w:szCs w:val="20"/>
        </w:rPr>
        <w:t xml:space="preserve">Continuing this discussion, as long as one part of the technology can meet the requirements, the whole technology is judged to pass the evaluation. This means, as long as the best performance of 3GPP 6G meets the IMT-2030 TPRs, the whole 3GPP 6G specifications will be recognized as a valid IMT-2030 technology. Devices and network </w:t>
      </w:r>
      <w:proofErr w:type="spellStart"/>
      <w:r w:rsidRPr="00F06C39">
        <w:rPr>
          <w:rFonts w:cs="Times New Roman"/>
          <w:sz w:val="20"/>
          <w:szCs w:val="20"/>
        </w:rPr>
        <w:t>equipments</w:t>
      </w:r>
      <w:proofErr w:type="spellEnd"/>
      <w:r w:rsidRPr="00F06C39">
        <w:rPr>
          <w:rFonts w:cs="Times New Roman"/>
          <w:sz w:val="20"/>
          <w:szCs w:val="20"/>
        </w:rPr>
        <w:t xml:space="preserve"> that operate with any possible configurations will be recognized as part of the 6G system. Take the number of antennas as an example, if the peak data rate is 5 times higher than IMT-2020, which may imply 16 UE Rx antennas at 7 GHz, it means that up to 16 Rx antennas are supported by evaluations (1, 2, 4, 8, 16 are all possible configurations). 3GPP can meet the ITU requirements on peak data rate using 16 Rx configuration at 7 GHz, and it is totally fine if the peak data rate cannot be achieved with 1/2/4/8 Rx as this is how ITU evaluations work and is true for almost all technology proposals.</w:t>
      </w:r>
    </w:p>
    <w:p w14:paraId="6E1ECA5A" w14:textId="77777777" w:rsidR="00876D55" w:rsidRPr="00F06C39" w:rsidRDefault="00876D55" w:rsidP="00F06C39">
      <w:pPr>
        <w:snapToGrid w:val="0"/>
        <w:spacing w:before="120" w:after="120"/>
        <w:rPr>
          <w:rFonts w:cs="Times New Roman"/>
          <w:sz w:val="20"/>
          <w:szCs w:val="20"/>
        </w:rPr>
      </w:pPr>
    </w:p>
    <w:p w14:paraId="2E45DA8E" w14:textId="77777777" w:rsidR="00876D55" w:rsidRPr="00F06C39" w:rsidRDefault="008A77DE" w:rsidP="00F06C39">
      <w:pPr>
        <w:snapToGrid w:val="0"/>
        <w:spacing w:before="120" w:after="120"/>
        <w:rPr>
          <w:rFonts w:cs="Times New Roman"/>
          <w:sz w:val="20"/>
          <w:szCs w:val="20"/>
        </w:rPr>
      </w:pPr>
      <w:r w:rsidRPr="00F06C39">
        <w:rPr>
          <w:rFonts w:cs="Times New Roman"/>
          <w:sz w:val="20"/>
          <w:szCs w:val="20"/>
        </w:rPr>
        <w:t>In short, from ITU evaluation perspective, as long as a part (the best part) of the specifications meet the TPRs, the whole technology proposal meets the IMT-2030 requirements. From commercialization perspective, operators and vendors are free to choose a subset of the specifications / configurations from 3GPP 6G, as all these subsets / configurations are recognized as qualified 6G technologies. From 3GPP perspective, supporting up to 16 antennas at device side for evaluations is an effective way to allow for a higher maximum data rate to be more future proof, as well as making 3GPP terrestrial components more competitive among all the candidate technologies. From both ITU and 3GPP perspectives, the evaluation assumptions do not force vendors or operators to choose any particular implementation, as is clearly stated in the ITU evaluation guidelines,</w:t>
      </w:r>
    </w:p>
    <w:tbl>
      <w:tblPr>
        <w:tblStyle w:val="af5"/>
        <w:tblW w:w="0" w:type="auto"/>
        <w:tblLook w:val="04A0" w:firstRow="1" w:lastRow="0" w:firstColumn="1" w:lastColumn="0" w:noHBand="0" w:noVBand="1"/>
      </w:tblPr>
      <w:tblGrid>
        <w:gridCol w:w="9629"/>
      </w:tblGrid>
      <w:tr w:rsidR="00876D55" w14:paraId="66A95745" w14:textId="77777777">
        <w:tc>
          <w:tcPr>
            <w:tcW w:w="9855" w:type="dxa"/>
          </w:tcPr>
          <w:p w14:paraId="48DE36CD" w14:textId="77777777" w:rsidR="00876D55" w:rsidRPr="00F06C39" w:rsidRDefault="008A77DE" w:rsidP="00F06C39">
            <w:pPr>
              <w:pStyle w:val="2"/>
              <w:snapToGrid w:val="0"/>
              <w:spacing w:before="120" w:after="120" w:line="240" w:lineRule="auto"/>
              <w:rPr>
                <w:rFonts w:ascii="Times New Roman" w:hAnsi="Times New Roman"/>
                <w:lang w:eastAsia="zh-CN"/>
              </w:rPr>
            </w:pPr>
            <w:r w:rsidRPr="00F06C39">
              <w:rPr>
                <w:rFonts w:ascii="Times New Roman" w:hAnsi="Times New Roman"/>
                <w:lang w:eastAsia="zh-CN"/>
              </w:rPr>
              <w:lastRenderedPageBreak/>
              <w:t>8.4</w:t>
            </w:r>
            <w:r w:rsidRPr="00F06C39">
              <w:rPr>
                <w:rFonts w:ascii="Times New Roman" w:hAnsi="Times New Roman"/>
                <w:lang w:eastAsia="zh-CN"/>
              </w:rPr>
              <w:tab/>
            </w:r>
            <w:r w:rsidRPr="00F06C39">
              <w:rPr>
                <w:rFonts w:ascii="Times New Roman" w:hAnsi="Times New Roman"/>
              </w:rPr>
              <w:t>Evaluation configurations</w:t>
            </w:r>
          </w:p>
          <w:p w14:paraId="0FE93FAD" w14:textId="77777777" w:rsidR="00876D55" w:rsidRPr="00F06C39" w:rsidRDefault="008A77DE" w:rsidP="00F06C39">
            <w:pPr>
              <w:snapToGrid w:val="0"/>
              <w:spacing w:before="120" w:after="120"/>
              <w:rPr>
                <w:rFonts w:cs="Times New Roman"/>
                <w:sz w:val="20"/>
                <w:szCs w:val="20"/>
              </w:rPr>
            </w:pPr>
            <w:r w:rsidRPr="00F06C39">
              <w:rPr>
                <w:rFonts w:cs="Times New Roman"/>
                <w:sz w:val="20"/>
                <w:szCs w:val="20"/>
              </w:rPr>
              <w:t>…… (omitted parts)</w:t>
            </w:r>
          </w:p>
          <w:p w14:paraId="023C843A" w14:textId="77777777" w:rsidR="00876D55" w:rsidRDefault="008A77DE" w:rsidP="00F06C39">
            <w:pPr>
              <w:snapToGrid w:val="0"/>
              <w:spacing w:before="120" w:after="120"/>
              <w:rPr>
                <w:rFonts w:cs="Times New Roman"/>
              </w:rPr>
            </w:pPr>
            <w:r w:rsidRPr="00F06C39">
              <w:rPr>
                <w:rFonts w:cs="Times New Roman"/>
                <w:sz w:val="20"/>
                <w:szCs w:val="20"/>
              </w:rPr>
              <w:t xml:space="preserve">The configuration parameters (and also the propagation and channel models in Annex 1 of this Report) are solely for the purpose of consistent evaluation of the candidate RITs/SRITs and relate only to specific test environments designed for these evaluations. Therefore, </w:t>
            </w:r>
            <w:r w:rsidRPr="00F06C39">
              <w:rPr>
                <w:rFonts w:cs="Times New Roman"/>
                <w:sz w:val="20"/>
                <w:szCs w:val="20"/>
                <w:highlight w:val="green"/>
              </w:rPr>
              <w:t>the configuration parameters should not be considered as those that must be used in any deployment of any IMT-2020 system nor should they be taken as the default values for any other or subsequent study in ITU or elsewhere. They do not necessarily themselves constitute any requirements on the implementation of the system.</w:t>
            </w:r>
          </w:p>
        </w:tc>
      </w:tr>
    </w:tbl>
    <w:p w14:paraId="0985E6BC" w14:textId="77777777" w:rsidR="00876D55" w:rsidRPr="00F06C39" w:rsidRDefault="008A77DE" w:rsidP="00F06C39">
      <w:pPr>
        <w:snapToGrid w:val="0"/>
        <w:spacing w:before="120" w:after="120"/>
        <w:rPr>
          <w:rFonts w:cs="Times New Roman"/>
          <w:sz w:val="20"/>
          <w:szCs w:val="20"/>
        </w:rPr>
      </w:pPr>
      <w:r w:rsidRPr="00F06C39">
        <w:rPr>
          <w:rFonts w:cs="Times New Roman"/>
          <w:sz w:val="20"/>
          <w:szCs w:val="20"/>
        </w:rPr>
        <w:t>Thus, supporting more antennas at the device side for the purpose of evaluation has the benefits of being more future proof and demonstrating the advantages of 3GPP terrestrial components, while not forcing implementation choices.</w:t>
      </w:r>
    </w:p>
    <w:p w14:paraId="70F17DA8" w14:textId="77777777" w:rsidR="00876D55" w:rsidRPr="00F06C39" w:rsidRDefault="008A77DE" w:rsidP="00F06C39">
      <w:pPr>
        <w:snapToGrid w:val="0"/>
        <w:spacing w:before="120" w:after="120"/>
        <w:rPr>
          <w:rFonts w:cs="Times New Roman"/>
          <w:b/>
          <w:sz w:val="20"/>
          <w:szCs w:val="20"/>
        </w:rPr>
      </w:pPr>
      <w:bookmarkStart w:id="8" w:name="_Ref24003456"/>
      <w:bookmarkStart w:id="9" w:name="_Ref21077829"/>
      <w:r w:rsidRPr="00F06C39">
        <w:rPr>
          <w:rFonts w:cs="Times New Roman"/>
          <w:b/>
          <w:sz w:val="20"/>
          <w:szCs w:val="20"/>
        </w:rPr>
        <w:t xml:space="preserve">Proposal </w:t>
      </w:r>
      <w:r w:rsidRPr="00F06C39">
        <w:rPr>
          <w:rFonts w:cs="Times New Roman"/>
          <w:b/>
          <w:sz w:val="20"/>
          <w:szCs w:val="20"/>
        </w:rPr>
        <w:fldChar w:fldCharType="begin"/>
      </w:r>
      <w:r w:rsidRPr="00F06C39">
        <w:rPr>
          <w:rFonts w:cs="Times New Roman"/>
          <w:b/>
          <w:sz w:val="20"/>
          <w:szCs w:val="20"/>
        </w:rPr>
        <w:instrText xml:space="preserve"> SEQ Proposal \* ARABIC </w:instrText>
      </w:r>
      <w:r w:rsidRPr="00F06C39">
        <w:rPr>
          <w:rFonts w:cs="Times New Roman"/>
          <w:b/>
          <w:sz w:val="20"/>
          <w:szCs w:val="20"/>
        </w:rPr>
        <w:fldChar w:fldCharType="separate"/>
      </w:r>
      <w:r w:rsidRPr="00F06C39">
        <w:rPr>
          <w:rFonts w:cs="Times New Roman"/>
          <w:b/>
          <w:sz w:val="20"/>
          <w:szCs w:val="20"/>
        </w:rPr>
        <w:t>2</w:t>
      </w:r>
      <w:r w:rsidRPr="00F06C39">
        <w:rPr>
          <w:rFonts w:cs="Times New Roman"/>
          <w:b/>
          <w:sz w:val="20"/>
          <w:szCs w:val="20"/>
        </w:rPr>
        <w:fldChar w:fldCharType="end"/>
      </w:r>
      <w:r w:rsidRPr="00F06C39">
        <w:rPr>
          <w:rFonts w:cs="Times New Roman"/>
          <w:b/>
          <w:sz w:val="20"/>
          <w:szCs w:val="20"/>
        </w:rPr>
        <w:t>: Consider up to 16 UE Rx for device types such as CPEs at 7 GHz for evaluations, which will be future proof and make 3GPP terrestrial specifications competitive enough for IMT-2030.</w:t>
      </w:r>
      <w:bookmarkEnd w:id="8"/>
    </w:p>
    <w:bookmarkEnd w:id="9"/>
    <w:p w14:paraId="7B6E7B2E" w14:textId="77777777" w:rsidR="00876D55" w:rsidRPr="00F06C39" w:rsidRDefault="008A77DE" w:rsidP="00F06C39">
      <w:pPr>
        <w:snapToGrid w:val="0"/>
        <w:spacing w:before="120" w:after="120"/>
        <w:rPr>
          <w:rFonts w:cs="Times New Roman"/>
          <w:sz w:val="20"/>
          <w:szCs w:val="20"/>
        </w:rPr>
      </w:pPr>
      <w:r w:rsidRPr="00F06C39">
        <w:rPr>
          <w:rFonts w:cs="Times New Roman"/>
          <w:sz w:val="20"/>
          <w:szCs w:val="20"/>
        </w:rPr>
        <w:t>On the number of antennas in configurations, we also observe that 8 Rx will likely remain as a configuration under 4 GHz carrier frequency.</w:t>
      </w:r>
    </w:p>
    <w:p w14:paraId="58789C4E" w14:textId="77777777" w:rsidR="00876D55" w:rsidRPr="00F06C39" w:rsidRDefault="008A77DE" w:rsidP="00F06C39">
      <w:pPr>
        <w:snapToGrid w:val="0"/>
        <w:spacing w:before="120" w:after="120"/>
        <w:rPr>
          <w:rFonts w:cs="Times New Roman"/>
          <w:sz w:val="20"/>
          <w:szCs w:val="20"/>
        </w:rPr>
      </w:pPr>
      <w:r w:rsidRPr="00F06C39">
        <w:rPr>
          <w:rFonts w:cs="Times New Roman"/>
          <w:b/>
          <w:sz w:val="20"/>
          <w:szCs w:val="20"/>
        </w:rPr>
        <w:t xml:space="preserve">Observation </w:t>
      </w:r>
      <w:r w:rsidRPr="00F06C39">
        <w:rPr>
          <w:rFonts w:cs="Times New Roman"/>
          <w:b/>
          <w:bCs/>
          <w:sz w:val="20"/>
          <w:szCs w:val="20"/>
        </w:rPr>
        <w:fldChar w:fldCharType="begin"/>
      </w:r>
      <w:r w:rsidRPr="00F06C39">
        <w:rPr>
          <w:rFonts w:cs="Times New Roman"/>
          <w:b/>
          <w:sz w:val="20"/>
          <w:szCs w:val="20"/>
        </w:rPr>
        <w:instrText xml:space="preserve"> SEQ Observation \* ARABIC </w:instrText>
      </w:r>
      <w:r w:rsidRPr="00F06C39">
        <w:rPr>
          <w:rFonts w:cs="Times New Roman"/>
          <w:b/>
          <w:bCs/>
          <w:sz w:val="20"/>
          <w:szCs w:val="20"/>
        </w:rPr>
        <w:fldChar w:fldCharType="separate"/>
      </w:r>
      <w:r w:rsidRPr="00F06C39">
        <w:rPr>
          <w:rFonts w:cs="Times New Roman"/>
          <w:b/>
          <w:sz w:val="20"/>
          <w:szCs w:val="20"/>
        </w:rPr>
        <w:t>4</w:t>
      </w:r>
      <w:r w:rsidRPr="00F06C39">
        <w:rPr>
          <w:rFonts w:cs="Times New Roman"/>
          <w:b/>
          <w:bCs/>
          <w:sz w:val="20"/>
          <w:szCs w:val="20"/>
        </w:rPr>
        <w:fldChar w:fldCharType="end"/>
      </w:r>
      <w:r w:rsidRPr="00F06C39">
        <w:rPr>
          <w:rFonts w:cs="Times New Roman"/>
          <w:b/>
          <w:sz w:val="20"/>
          <w:szCs w:val="20"/>
        </w:rPr>
        <w:t xml:space="preserve">: </w:t>
      </w:r>
      <w:r w:rsidRPr="00F06C39">
        <w:rPr>
          <w:rFonts w:cs="Times New Roman"/>
          <w:sz w:val="20"/>
          <w:szCs w:val="20"/>
        </w:rPr>
        <w:t>According to the ITU discussions, no one proposed to remove Configuration A (4 GHz and 8 UE Rx) from the list of configurations, and thus, 8 UE Rx will likely remain a valid configuration under 4 GHz.</w:t>
      </w:r>
    </w:p>
    <w:p w14:paraId="26113B46" w14:textId="77777777" w:rsidR="00876D55" w:rsidRPr="00F06C39" w:rsidRDefault="00876D55" w:rsidP="00F06C39">
      <w:pPr>
        <w:snapToGrid w:val="0"/>
        <w:spacing w:before="120" w:after="120"/>
        <w:rPr>
          <w:rFonts w:cs="Times New Roman"/>
          <w:sz w:val="20"/>
          <w:szCs w:val="20"/>
        </w:rPr>
      </w:pPr>
    </w:p>
    <w:p w14:paraId="7E1BA539" w14:textId="58515D9E" w:rsidR="00876D55" w:rsidRPr="00F06C39" w:rsidRDefault="008A77DE" w:rsidP="00F06C39">
      <w:pPr>
        <w:snapToGrid w:val="0"/>
        <w:spacing w:before="120" w:after="120"/>
        <w:rPr>
          <w:rFonts w:cs="Times New Roman"/>
          <w:sz w:val="20"/>
          <w:szCs w:val="20"/>
        </w:rPr>
      </w:pPr>
      <w:r w:rsidRPr="00F06C39">
        <w:rPr>
          <w:rFonts w:cs="Times New Roman"/>
          <w:sz w:val="20"/>
          <w:szCs w:val="20"/>
        </w:rPr>
        <w:t>For the new KPI, likely to be named as “5</w:t>
      </w:r>
      <w:r w:rsidRPr="00F06C39">
        <w:rPr>
          <w:rFonts w:cs="Times New Roman"/>
          <w:sz w:val="20"/>
          <w:szCs w:val="20"/>
          <w:vertAlign w:val="superscript"/>
        </w:rPr>
        <w:t>th</w:t>
      </w:r>
      <w:r w:rsidRPr="00F06C39">
        <w:rPr>
          <w:rFonts w:cs="Times New Roman"/>
          <w:sz w:val="20"/>
          <w:szCs w:val="20"/>
        </w:rPr>
        <w:t xml:space="preserve"> percentile user data rate”, a new evaluation approach is used. Before in IMT-2020, the simulation was done on 20 MHz, then an associated data rate was acquired. As a next step, bandwidth scaling was done on the data rate. For instance, if the data rate was 10 Mbps on 20 MHz, and the total system bandwidth was 100 MHz, the user experienced data rate in UL was 50 Mbps. Now, we need to do simulations directly using 100 MHz, since for UE, the transmit power is limited and not per bandwidth, so bandwidth scaling might not be applicable. Under this new simulation approach, we re-run our simulations using 100 MHz bandwidth, 26 dBm for UE Tx power, 1024 antennas at the BS side, 4 Tx antenna at UE side, enabling MU-MIMO scheme, the simulation results show that UL 5</w:t>
      </w:r>
      <w:r w:rsidRPr="00F06C39">
        <w:rPr>
          <w:rFonts w:cs="Times New Roman"/>
          <w:sz w:val="20"/>
          <w:szCs w:val="20"/>
          <w:vertAlign w:val="superscript"/>
        </w:rPr>
        <w:t>th</w:t>
      </w:r>
      <w:r w:rsidRPr="00F06C39">
        <w:rPr>
          <w:rFonts w:cs="Times New Roman"/>
          <w:sz w:val="20"/>
          <w:szCs w:val="20"/>
        </w:rPr>
        <w:t xml:space="preserve"> percentile user data rate can achieve 50 Mbps.</w:t>
      </w:r>
    </w:p>
    <w:p w14:paraId="059E6FC6" w14:textId="77777777" w:rsidR="00876D55" w:rsidRPr="00F06C39" w:rsidRDefault="008A77DE" w:rsidP="00F06C39">
      <w:pPr>
        <w:snapToGrid w:val="0"/>
        <w:spacing w:before="120" w:after="120"/>
        <w:rPr>
          <w:rFonts w:cs="Times New Roman"/>
          <w:b/>
          <w:sz w:val="20"/>
          <w:szCs w:val="20"/>
        </w:rPr>
      </w:pPr>
      <w:bookmarkStart w:id="10" w:name="_Ref32606461"/>
      <w:r w:rsidRPr="00F06C39">
        <w:rPr>
          <w:rFonts w:cs="Times New Roman"/>
          <w:b/>
          <w:sz w:val="20"/>
          <w:szCs w:val="20"/>
        </w:rPr>
        <w:t xml:space="preserve">Proposal </w:t>
      </w:r>
      <w:r w:rsidRPr="00F06C39">
        <w:rPr>
          <w:rFonts w:cs="Times New Roman"/>
          <w:b/>
          <w:sz w:val="20"/>
          <w:szCs w:val="20"/>
        </w:rPr>
        <w:fldChar w:fldCharType="begin"/>
      </w:r>
      <w:r w:rsidRPr="00F06C39">
        <w:rPr>
          <w:rFonts w:cs="Times New Roman"/>
          <w:b/>
          <w:sz w:val="20"/>
          <w:szCs w:val="20"/>
        </w:rPr>
        <w:instrText xml:space="preserve"> SEQ Proposal \* ARABIC </w:instrText>
      </w:r>
      <w:r w:rsidRPr="00F06C39">
        <w:rPr>
          <w:rFonts w:cs="Times New Roman"/>
          <w:b/>
          <w:sz w:val="20"/>
          <w:szCs w:val="20"/>
        </w:rPr>
        <w:fldChar w:fldCharType="separate"/>
      </w:r>
      <w:r w:rsidRPr="00F06C39">
        <w:rPr>
          <w:rFonts w:cs="Times New Roman"/>
          <w:b/>
          <w:sz w:val="20"/>
          <w:szCs w:val="20"/>
        </w:rPr>
        <w:t>3</w:t>
      </w:r>
      <w:r w:rsidRPr="00F06C39">
        <w:rPr>
          <w:rFonts w:cs="Times New Roman"/>
          <w:b/>
          <w:sz w:val="20"/>
          <w:szCs w:val="20"/>
        </w:rPr>
        <w:fldChar w:fldCharType="end"/>
      </w:r>
      <w:r w:rsidRPr="00F06C39">
        <w:rPr>
          <w:rFonts w:cs="Times New Roman"/>
          <w:b/>
          <w:sz w:val="20"/>
          <w:szCs w:val="20"/>
        </w:rPr>
        <w:t>: Define the UL 5th percentile user data rate as 50 Mbps.</w:t>
      </w:r>
      <w:bookmarkEnd w:id="10"/>
    </w:p>
    <w:p w14:paraId="2A32C058" w14:textId="77777777" w:rsidR="00876D55" w:rsidRPr="00F06C39" w:rsidRDefault="00876D55" w:rsidP="00F06C39">
      <w:pPr>
        <w:snapToGrid w:val="0"/>
        <w:spacing w:before="120" w:after="120"/>
        <w:rPr>
          <w:rFonts w:cs="Times New Roman"/>
          <w:sz w:val="20"/>
          <w:szCs w:val="20"/>
        </w:rPr>
      </w:pPr>
    </w:p>
    <w:p w14:paraId="7809B965" w14:textId="77777777" w:rsidR="00876D55" w:rsidRPr="00F06C39" w:rsidRDefault="008A77DE" w:rsidP="00F06C39">
      <w:pPr>
        <w:snapToGrid w:val="0"/>
        <w:spacing w:before="120" w:after="120"/>
        <w:rPr>
          <w:rFonts w:cs="Times New Roman"/>
          <w:sz w:val="20"/>
          <w:szCs w:val="20"/>
        </w:rPr>
      </w:pPr>
      <w:r w:rsidRPr="00F06C39">
        <w:rPr>
          <w:rFonts w:cs="Times New Roman"/>
          <w:sz w:val="20"/>
          <w:szCs w:val="20"/>
        </w:rPr>
        <w:t>For composite requirement, the ITU-R WP 5D has finalized the definition, the next step is to study proper values for it. As an emerging use case for IC is XR services, and the composite requirement is also meant to characterize XR-like services, we suggest to distinguish between XR and traditional video services by demonstrating the multi-modality nature of XR.</w:t>
      </w:r>
    </w:p>
    <w:p w14:paraId="281A5832" w14:textId="77777777" w:rsidR="00876D55" w:rsidRPr="00F06C39" w:rsidRDefault="008A77DE" w:rsidP="00F06C39">
      <w:pPr>
        <w:snapToGrid w:val="0"/>
        <w:spacing w:before="120" w:after="120"/>
        <w:rPr>
          <w:rFonts w:cs="Times New Roman"/>
          <w:sz w:val="20"/>
          <w:szCs w:val="20"/>
        </w:rPr>
      </w:pPr>
      <w:r w:rsidRPr="00F06C39">
        <w:rPr>
          <w:rFonts w:cs="Times New Roman"/>
          <w:b/>
          <w:sz w:val="20"/>
          <w:szCs w:val="20"/>
        </w:rPr>
        <w:t xml:space="preserve">Observation </w:t>
      </w:r>
      <w:r w:rsidRPr="00F06C39">
        <w:rPr>
          <w:rFonts w:cs="Times New Roman"/>
          <w:b/>
          <w:bCs/>
          <w:sz w:val="20"/>
          <w:szCs w:val="20"/>
        </w:rPr>
        <w:fldChar w:fldCharType="begin"/>
      </w:r>
      <w:r w:rsidRPr="00F06C39">
        <w:rPr>
          <w:rFonts w:cs="Times New Roman"/>
          <w:b/>
          <w:sz w:val="20"/>
          <w:szCs w:val="20"/>
        </w:rPr>
        <w:instrText xml:space="preserve"> SEQ Observation \* ARABIC </w:instrText>
      </w:r>
      <w:r w:rsidRPr="00F06C39">
        <w:rPr>
          <w:rFonts w:cs="Times New Roman"/>
          <w:b/>
          <w:bCs/>
          <w:sz w:val="20"/>
          <w:szCs w:val="20"/>
        </w:rPr>
        <w:fldChar w:fldCharType="separate"/>
      </w:r>
      <w:r w:rsidRPr="00F06C39">
        <w:rPr>
          <w:rFonts w:cs="Times New Roman"/>
          <w:b/>
          <w:sz w:val="20"/>
          <w:szCs w:val="20"/>
        </w:rPr>
        <w:t>5</w:t>
      </w:r>
      <w:r w:rsidRPr="00F06C39">
        <w:rPr>
          <w:rFonts w:cs="Times New Roman"/>
          <w:b/>
          <w:bCs/>
          <w:sz w:val="20"/>
          <w:szCs w:val="20"/>
        </w:rPr>
        <w:fldChar w:fldCharType="end"/>
      </w:r>
      <w:r w:rsidRPr="00F06C39">
        <w:rPr>
          <w:rFonts w:cs="Times New Roman"/>
          <w:b/>
          <w:sz w:val="20"/>
          <w:szCs w:val="20"/>
        </w:rPr>
        <w:t xml:space="preserve">: </w:t>
      </w:r>
      <w:r w:rsidRPr="00F06C39">
        <w:rPr>
          <w:rFonts w:cs="Times New Roman"/>
          <w:sz w:val="20"/>
          <w:szCs w:val="20"/>
        </w:rPr>
        <w:t xml:space="preserve">Multi-modality (mixed traffic model of video, haptic, </w:t>
      </w:r>
      <w:proofErr w:type="spellStart"/>
      <w:r w:rsidRPr="00F06C39">
        <w:rPr>
          <w:rFonts w:cs="Times New Roman"/>
          <w:sz w:val="20"/>
          <w:szCs w:val="20"/>
        </w:rPr>
        <w:t>etc</w:t>
      </w:r>
      <w:proofErr w:type="spellEnd"/>
      <w:r w:rsidRPr="00F06C39">
        <w:rPr>
          <w:rFonts w:cs="Times New Roman"/>
          <w:sz w:val="20"/>
          <w:szCs w:val="20"/>
        </w:rPr>
        <w:t>) is a nature of XR services that distinguishes them from traditional video services.</w:t>
      </w:r>
    </w:p>
    <w:p w14:paraId="15B63D6C" w14:textId="77777777" w:rsidR="00876D55" w:rsidRPr="00F06C39" w:rsidRDefault="008A77DE" w:rsidP="00F06C39">
      <w:pPr>
        <w:snapToGrid w:val="0"/>
        <w:spacing w:before="120" w:after="120"/>
        <w:rPr>
          <w:rFonts w:cs="Times New Roman"/>
          <w:sz w:val="20"/>
          <w:szCs w:val="20"/>
        </w:rPr>
      </w:pPr>
      <w:r w:rsidRPr="00F06C39">
        <w:rPr>
          <w:rFonts w:cs="Times New Roman"/>
          <w:sz w:val="20"/>
          <w:szCs w:val="20"/>
        </w:rPr>
        <w:t>Based on the observation, we propose to define the traffic model as below</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8079"/>
      </w:tblGrid>
      <w:tr w:rsidR="00876D55" w14:paraId="41DA9F65" w14:textId="77777777">
        <w:trPr>
          <w:cantSplit/>
          <w:jc w:val="center"/>
        </w:trPr>
        <w:tc>
          <w:tcPr>
            <w:tcW w:w="1560" w:type="dxa"/>
            <w:tcBorders>
              <w:top w:val="single" w:sz="4" w:space="0" w:color="auto"/>
              <w:left w:val="single" w:sz="4" w:space="0" w:color="auto"/>
              <w:bottom w:val="single" w:sz="4" w:space="0" w:color="auto"/>
              <w:right w:val="single" w:sz="4" w:space="0" w:color="auto"/>
            </w:tcBorders>
          </w:tcPr>
          <w:p w14:paraId="0B5F281D" w14:textId="77777777" w:rsidR="00876D55" w:rsidRDefault="008A77DE" w:rsidP="00F06C39">
            <w:pPr>
              <w:pStyle w:val="Tabletext"/>
              <w:snapToGrid w:val="0"/>
              <w:spacing w:before="120" w:after="120"/>
            </w:pPr>
            <w:r>
              <w:t>Traffic model</w:t>
            </w:r>
          </w:p>
        </w:tc>
        <w:tc>
          <w:tcPr>
            <w:tcW w:w="8079" w:type="dxa"/>
            <w:tcBorders>
              <w:top w:val="single" w:sz="4" w:space="0" w:color="auto"/>
              <w:left w:val="nil"/>
              <w:bottom w:val="single" w:sz="4" w:space="0" w:color="auto"/>
              <w:right w:val="single" w:sz="4" w:space="0" w:color="auto"/>
            </w:tcBorders>
          </w:tcPr>
          <w:p w14:paraId="5C9285C6" w14:textId="77777777" w:rsidR="00876D55" w:rsidRDefault="008A77DE" w:rsidP="00F06C39">
            <w:pPr>
              <w:pStyle w:val="Tabletext"/>
              <w:snapToGrid w:val="0"/>
              <w:spacing w:before="120" w:after="120"/>
              <w:jc w:val="center"/>
              <w:rPr>
                <w:kern w:val="24"/>
              </w:rPr>
            </w:pPr>
            <w:r>
              <w:rPr>
                <w:rFonts w:hint="eastAsia"/>
                <w:kern w:val="24"/>
              </w:rPr>
              <w:t>DL</w:t>
            </w:r>
          </w:p>
          <w:p w14:paraId="7C22E155" w14:textId="77777777" w:rsidR="00876D55" w:rsidRDefault="008A77DE" w:rsidP="00F06C39">
            <w:pPr>
              <w:pStyle w:val="Tabletext"/>
              <w:snapToGrid w:val="0"/>
              <w:spacing w:before="120" w:after="120"/>
              <w:jc w:val="center"/>
              <w:rPr>
                <w:kern w:val="24"/>
              </w:rPr>
            </w:pPr>
            <w:r>
              <w:rPr>
                <w:rFonts w:hint="eastAsia"/>
                <w:kern w:val="24"/>
              </w:rPr>
              <w:t>Video: 45Mbps@60FPS, reliability = 99%, PDB = 10ms</w:t>
            </w:r>
          </w:p>
          <w:p w14:paraId="612B6300" w14:textId="77777777" w:rsidR="00876D55" w:rsidRDefault="008A77DE" w:rsidP="00F06C39">
            <w:pPr>
              <w:pStyle w:val="Tabletext"/>
              <w:snapToGrid w:val="0"/>
              <w:spacing w:before="120" w:after="120"/>
              <w:jc w:val="center"/>
              <w:rPr>
                <w:kern w:val="24"/>
              </w:rPr>
            </w:pPr>
            <w:r>
              <w:rPr>
                <w:rFonts w:hint="eastAsia"/>
                <w:kern w:val="24"/>
              </w:rPr>
              <w:t>Haptic: fixed 100 Byte/s, reliability = 99.9%, PDB=5ms, pareto distribution arrival</w:t>
            </w:r>
          </w:p>
          <w:p w14:paraId="5881F135" w14:textId="77777777" w:rsidR="00876D55" w:rsidRDefault="008A77DE" w:rsidP="00F06C39">
            <w:pPr>
              <w:pStyle w:val="Tabletext"/>
              <w:snapToGrid w:val="0"/>
              <w:spacing w:before="120" w:after="120"/>
              <w:jc w:val="center"/>
              <w:rPr>
                <w:kern w:val="24"/>
              </w:rPr>
            </w:pPr>
            <w:r>
              <w:rPr>
                <w:rFonts w:hint="eastAsia"/>
                <w:kern w:val="24"/>
              </w:rPr>
              <w:t>UL</w:t>
            </w:r>
          </w:p>
          <w:p w14:paraId="0C0F61E9" w14:textId="77777777" w:rsidR="00876D55" w:rsidRDefault="008A77DE" w:rsidP="00F06C39">
            <w:pPr>
              <w:pStyle w:val="Tabletext"/>
              <w:snapToGrid w:val="0"/>
              <w:spacing w:before="120" w:after="120"/>
              <w:jc w:val="center"/>
              <w:rPr>
                <w:kern w:val="24"/>
              </w:rPr>
            </w:pPr>
            <w:r>
              <w:rPr>
                <w:rFonts w:hint="eastAsia"/>
                <w:kern w:val="24"/>
              </w:rPr>
              <w:t>Video: 20Mbps@60FPS, PER=99%, PDB = 10ms</w:t>
            </w:r>
          </w:p>
        </w:tc>
      </w:tr>
    </w:tbl>
    <w:p w14:paraId="7B21BEA1" w14:textId="77777777" w:rsidR="00876D55" w:rsidRPr="00F06C39" w:rsidRDefault="008A77DE" w:rsidP="00F06C39">
      <w:pPr>
        <w:snapToGrid w:val="0"/>
        <w:spacing w:before="120" w:after="120"/>
        <w:rPr>
          <w:rFonts w:cs="Times New Roman"/>
          <w:b/>
          <w:sz w:val="20"/>
          <w:szCs w:val="20"/>
        </w:rPr>
      </w:pPr>
      <w:r w:rsidRPr="00F06C39">
        <w:rPr>
          <w:rFonts w:cs="Times New Roman"/>
          <w:b/>
          <w:sz w:val="20"/>
          <w:szCs w:val="20"/>
        </w:rPr>
        <w:t xml:space="preserve">Proposal </w:t>
      </w:r>
      <w:r w:rsidRPr="00F06C39">
        <w:rPr>
          <w:rFonts w:cs="Times New Roman"/>
          <w:b/>
          <w:sz w:val="20"/>
          <w:szCs w:val="20"/>
        </w:rPr>
        <w:fldChar w:fldCharType="begin"/>
      </w:r>
      <w:r w:rsidRPr="00F06C39">
        <w:rPr>
          <w:rFonts w:cs="Times New Roman"/>
          <w:b/>
          <w:sz w:val="20"/>
          <w:szCs w:val="20"/>
        </w:rPr>
        <w:instrText xml:space="preserve"> SEQ Proposal \* ARABIC </w:instrText>
      </w:r>
      <w:r w:rsidRPr="00F06C39">
        <w:rPr>
          <w:rFonts w:cs="Times New Roman"/>
          <w:b/>
          <w:sz w:val="20"/>
          <w:szCs w:val="20"/>
        </w:rPr>
        <w:fldChar w:fldCharType="separate"/>
      </w:r>
      <w:r w:rsidRPr="00F06C39">
        <w:rPr>
          <w:rFonts w:cs="Times New Roman"/>
          <w:b/>
          <w:sz w:val="20"/>
          <w:szCs w:val="20"/>
        </w:rPr>
        <w:t>4</w:t>
      </w:r>
      <w:r w:rsidRPr="00F06C39">
        <w:rPr>
          <w:rFonts w:cs="Times New Roman"/>
          <w:b/>
          <w:sz w:val="20"/>
          <w:szCs w:val="20"/>
        </w:rPr>
        <w:fldChar w:fldCharType="end"/>
      </w:r>
      <w:r w:rsidRPr="00F06C39">
        <w:rPr>
          <w:rFonts w:cs="Times New Roman"/>
          <w:b/>
          <w:sz w:val="20"/>
          <w:szCs w:val="20"/>
        </w:rPr>
        <w:t xml:space="preserve">: Define a multi-modal traffic model (corresponding to data rate, latency and reliability) for composite </w:t>
      </w:r>
      <w:r w:rsidRPr="00F06C39">
        <w:rPr>
          <w:rFonts w:cs="Times New Roman"/>
          <w:b/>
          <w:sz w:val="20"/>
          <w:szCs w:val="20"/>
        </w:rPr>
        <w:lastRenderedPageBreak/>
        <w:t>requirement as in the table above, which comprises of video and haptic data.</w:t>
      </w:r>
    </w:p>
    <w:p w14:paraId="589B17A1" w14:textId="77777777" w:rsidR="00876D55" w:rsidRDefault="00876D55" w:rsidP="00F06C39">
      <w:pPr>
        <w:snapToGrid w:val="0"/>
        <w:spacing w:before="120" w:after="120"/>
        <w:rPr>
          <w:rFonts w:cs="Times New Roman"/>
        </w:rPr>
      </w:pPr>
    </w:p>
    <w:p w14:paraId="50E6601E" w14:textId="77777777" w:rsidR="00876D55" w:rsidRPr="00F06C39" w:rsidRDefault="008A77DE" w:rsidP="00F06C39">
      <w:pPr>
        <w:snapToGrid w:val="0"/>
        <w:spacing w:before="120" w:after="120"/>
        <w:rPr>
          <w:rFonts w:cs="Times New Roman"/>
          <w:sz w:val="20"/>
          <w:szCs w:val="20"/>
        </w:rPr>
      </w:pPr>
      <w:r w:rsidRPr="00F06C39">
        <w:rPr>
          <w:rFonts w:cs="Times New Roman"/>
          <w:sz w:val="20"/>
          <w:szCs w:val="20"/>
        </w:rPr>
        <w:t>For ISAC, we also need to define new KPIs to characterize the system performance. We suggest to define detection probability and false alarm rate, localization accuracy and velocity estimation accuracy as three KPIs, with their proposed definition listed below.</w:t>
      </w:r>
    </w:p>
    <w:tbl>
      <w:tblPr>
        <w:tblStyle w:val="af5"/>
        <w:tblW w:w="0" w:type="auto"/>
        <w:tblLook w:val="04A0" w:firstRow="1" w:lastRow="0" w:firstColumn="1" w:lastColumn="0" w:noHBand="0" w:noVBand="1"/>
      </w:tblPr>
      <w:tblGrid>
        <w:gridCol w:w="9629"/>
      </w:tblGrid>
      <w:tr w:rsidR="00876D55" w14:paraId="75E0465F" w14:textId="77777777">
        <w:tc>
          <w:tcPr>
            <w:tcW w:w="9855" w:type="dxa"/>
          </w:tcPr>
          <w:p w14:paraId="31023691" w14:textId="77777777" w:rsidR="00876D55" w:rsidRPr="00F06C39" w:rsidRDefault="008A77DE" w:rsidP="00F06C39">
            <w:pPr>
              <w:snapToGrid w:val="0"/>
              <w:spacing w:before="120" w:after="120"/>
              <w:rPr>
                <w:rFonts w:cs="Times New Roman"/>
                <w:sz w:val="20"/>
                <w:szCs w:val="20"/>
                <w:lang w:val="fr-FR"/>
              </w:rPr>
            </w:pPr>
            <w:r w:rsidRPr="00F06C39">
              <w:rPr>
                <w:rFonts w:cs="Times New Roman"/>
                <w:sz w:val="20"/>
                <w:szCs w:val="20"/>
                <w:lang w:val="fr-FR"/>
              </w:rPr>
              <w:t>Sensing-related capabilities are measured in terms of the following KPIs:</w:t>
            </w:r>
          </w:p>
          <w:p w14:paraId="3CF42015" w14:textId="77777777" w:rsidR="00876D55" w:rsidRPr="00F06C39" w:rsidRDefault="008A77DE" w:rsidP="00F06C39">
            <w:pPr>
              <w:snapToGrid w:val="0"/>
              <w:spacing w:before="120" w:after="120"/>
              <w:rPr>
                <w:rFonts w:cs="Times New Roman"/>
                <w:sz w:val="20"/>
                <w:szCs w:val="20"/>
                <w:lang w:val="fr-FR"/>
              </w:rPr>
            </w:pPr>
            <w:bookmarkStart w:id="11" w:name="OLE_LINK21"/>
            <w:r w:rsidRPr="00F06C39">
              <w:rPr>
                <w:rFonts w:cs="Times New Roman"/>
                <w:sz w:val="20"/>
                <w:szCs w:val="20"/>
                <w:lang w:val="fr-FR"/>
              </w:rPr>
              <w:t>•</w:t>
            </w:r>
            <w:r w:rsidRPr="00F06C39">
              <w:rPr>
                <w:rFonts w:cs="Times New Roman"/>
                <w:sz w:val="20"/>
                <w:szCs w:val="20"/>
                <w:lang w:val="fr-FR"/>
              </w:rPr>
              <w:tab/>
              <w:t>Detection Probability and False Alarm Probability</w:t>
            </w:r>
            <w:bookmarkEnd w:id="11"/>
            <w:r w:rsidRPr="00F06C39">
              <w:rPr>
                <w:rFonts w:cs="Times New Roman"/>
                <w:sz w:val="20"/>
                <w:szCs w:val="20"/>
                <w:lang w:val="fr-FR"/>
              </w:rPr>
              <w:t>: Detection probability is the probability of correctly detecting the presence of the sensing object, and false alarm probability is the associated probability that a sensing object is detected when no sensing object is actually present.</w:t>
            </w:r>
          </w:p>
          <w:p w14:paraId="7C7FA370" w14:textId="77777777" w:rsidR="00876D55" w:rsidRPr="00F06C39" w:rsidRDefault="008A77DE" w:rsidP="00F06C39">
            <w:pPr>
              <w:snapToGrid w:val="0"/>
              <w:spacing w:before="120" w:after="120"/>
              <w:rPr>
                <w:rFonts w:cs="Times New Roman"/>
                <w:i/>
                <w:iCs/>
                <w:sz w:val="20"/>
                <w:szCs w:val="20"/>
                <w:lang w:val="fr-FR"/>
              </w:rPr>
            </w:pPr>
            <w:r w:rsidRPr="00F06C39">
              <w:rPr>
                <w:rFonts w:cs="Times New Roman"/>
                <w:sz w:val="20"/>
                <w:szCs w:val="20"/>
                <w:lang w:val="fr-FR"/>
              </w:rPr>
              <w:t>•</w:t>
            </w:r>
            <w:r w:rsidRPr="00F06C39">
              <w:rPr>
                <w:rFonts w:cs="Times New Roman"/>
                <w:sz w:val="20"/>
                <w:szCs w:val="20"/>
                <w:lang w:val="fr-FR"/>
              </w:rPr>
              <w:tab/>
              <w:t>Horizontal/</w:t>
            </w:r>
            <w:bookmarkStart w:id="12" w:name="OLE_LINK30"/>
            <w:r w:rsidRPr="00F06C39">
              <w:rPr>
                <w:rFonts w:cs="Times New Roman"/>
                <w:sz w:val="20"/>
                <w:szCs w:val="20"/>
                <w:lang w:val="fr-FR"/>
              </w:rPr>
              <w:t>Vertical Localization Accuracy</w:t>
            </w:r>
            <w:bookmarkEnd w:id="12"/>
            <w:r w:rsidRPr="00F06C39">
              <w:rPr>
                <w:rFonts w:cs="Times New Roman"/>
                <w:sz w:val="20"/>
                <w:szCs w:val="20"/>
                <w:lang w:val="fr-FR"/>
              </w:rPr>
              <w:t>: It is defined as the difference between the estimated horizontal/vertical location and the actual horizontal/vertical location of the sensing object. The required value of localization accuracy shall be obtained assuming 90% confidence level, which is the 90</w:t>
            </w:r>
            <w:r w:rsidRPr="00F06C39">
              <w:rPr>
                <w:rFonts w:cs="Times New Roman"/>
                <w:sz w:val="20"/>
                <w:szCs w:val="20"/>
                <w:vertAlign w:val="superscript"/>
                <w:lang w:val="fr-FR"/>
              </w:rPr>
              <w:t>th</w:t>
            </w:r>
            <w:r w:rsidRPr="00F06C39">
              <w:rPr>
                <w:rFonts w:cs="Times New Roman"/>
                <w:sz w:val="20"/>
                <w:szCs w:val="20"/>
                <w:lang w:val="fr-FR"/>
              </w:rPr>
              <w:t xml:space="preserve"> percentile point of the cumulative distribution function (CDF) of the location estimation error.</w:t>
            </w:r>
          </w:p>
          <w:p w14:paraId="47ADE969" w14:textId="77777777" w:rsidR="00876D55" w:rsidRPr="00F06C39" w:rsidRDefault="008A77DE" w:rsidP="00F06C39">
            <w:pPr>
              <w:snapToGrid w:val="0"/>
              <w:spacing w:before="120" w:after="120"/>
              <w:rPr>
                <w:rFonts w:cs="Times New Roman"/>
                <w:sz w:val="20"/>
                <w:szCs w:val="20"/>
              </w:rPr>
            </w:pPr>
            <w:r w:rsidRPr="00F06C39">
              <w:rPr>
                <w:rFonts w:cs="Times New Roman"/>
                <w:sz w:val="20"/>
                <w:szCs w:val="20"/>
                <w:lang w:val="fr-FR"/>
              </w:rPr>
              <w:t>•</w:t>
            </w:r>
            <w:r w:rsidRPr="00F06C39">
              <w:rPr>
                <w:rFonts w:cs="Times New Roman"/>
                <w:sz w:val="20"/>
                <w:szCs w:val="20"/>
                <w:lang w:val="fr-FR"/>
              </w:rPr>
              <w:tab/>
              <w:t>Velocity Estimation Accuracy: Velocity estimation accuracy is defined as the difference between the estimated velocity and the actual velocity of the sensing object. The required value of velocity accuracy shall be obtained assuming 90% confidence level, which is the 90</w:t>
            </w:r>
            <w:r w:rsidRPr="00F06C39">
              <w:rPr>
                <w:rFonts w:cs="Times New Roman"/>
                <w:sz w:val="20"/>
                <w:szCs w:val="20"/>
                <w:vertAlign w:val="superscript"/>
                <w:lang w:val="fr-FR"/>
              </w:rPr>
              <w:t>th</w:t>
            </w:r>
            <w:r w:rsidRPr="00F06C39">
              <w:rPr>
                <w:rFonts w:cs="Times New Roman"/>
                <w:sz w:val="20"/>
                <w:szCs w:val="20"/>
                <w:lang w:val="fr-FR"/>
              </w:rPr>
              <w:t xml:space="preserve"> percentile point of the cumulative distribution function (CDF) of the velocity estimation error.</w:t>
            </w:r>
          </w:p>
        </w:tc>
      </w:tr>
    </w:tbl>
    <w:p w14:paraId="5D896E64" w14:textId="394CD478" w:rsidR="008B77EE" w:rsidRPr="008B77EE" w:rsidRDefault="00910201" w:rsidP="00F06C39">
      <w:pPr>
        <w:snapToGrid w:val="0"/>
        <w:spacing w:before="120" w:after="120"/>
        <w:rPr>
          <w:rFonts w:cs="Times New Roman"/>
          <w:sz w:val="20"/>
          <w:szCs w:val="20"/>
        </w:rPr>
      </w:pPr>
      <w:r>
        <w:rPr>
          <w:rFonts w:cs="Times New Roman" w:hint="eastAsia"/>
          <w:sz w:val="20"/>
          <w:szCs w:val="20"/>
        </w:rPr>
        <w:t>C</w:t>
      </w:r>
      <w:r>
        <w:rPr>
          <w:rFonts w:cs="Times New Roman"/>
          <w:sz w:val="20"/>
          <w:szCs w:val="20"/>
        </w:rPr>
        <w:t xml:space="preserve">onsidering SA1 requirements and achievable </w:t>
      </w:r>
      <w:r w:rsidR="002A1B9C">
        <w:rPr>
          <w:rFonts w:cs="Times New Roman"/>
          <w:sz w:val="20"/>
          <w:szCs w:val="20"/>
        </w:rPr>
        <w:t xml:space="preserve">performance, </w:t>
      </w:r>
      <w:r w:rsidR="00DE6985">
        <w:rPr>
          <w:rFonts w:cs="Times New Roman"/>
          <w:sz w:val="20"/>
          <w:szCs w:val="20"/>
        </w:rPr>
        <w:t xml:space="preserve">we suggest the following sensing performance requirements: </w:t>
      </w:r>
      <w:r w:rsidR="00DD178F">
        <w:rPr>
          <w:rFonts w:cs="Times New Roman"/>
          <w:sz w:val="20"/>
          <w:szCs w:val="20"/>
        </w:rPr>
        <w:t>detection probability 95%, false alarm probability 5%, horizontal localization accuracy 2m, vertical localization accuracy 5m, velocity accuracy 1m/s.</w:t>
      </w:r>
    </w:p>
    <w:p w14:paraId="37F89390" w14:textId="1904F628" w:rsidR="00876D55" w:rsidRDefault="008A77DE" w:rsidP="00F06C39">
      <w:pPr>
        <w:snapToGrid w:val="0"/>
        <w:spacing w:before="120" w:after="120"/>
        <w:rPr>
          <w:rFonts w:cs="Times New Roman"/>
          <w:b/>
          <w:sz w:val="20"/>
          <w:szCs w:val="20"/>
        </w:rPr>
      </w:pPr>
      <w:r w:rsidRPr="00F06C39">
        <w:rPr>
          <w:rFonts w:cs="Times New Roman"/>
          <w:b/>
          <w:sz w:val="20"/>
          <w:szCs w:val="20"/>
        </w:rPr>
        <w:t xml:space="preserve">Proposal </w:t>
      </w:r>
      <w:r w:rsidRPr="00F06C39">
        <w:rPr>
          <w:rFonts w:cs="Times New Roman"/>
          <w:b/>
          <w:sz w:val="20"/>
          <w:szCs w:val="20"/>
        </w:rPr>
        <w:fldChar w:fldCharType="begin"/>
      </w:r>
      <w:r w:rsidRPr="00F06C39">
        <w:rPr>
          <w:rFonts w:cs="Times New Roman"/>
          <w:b/>
          <w:sz w:val="20"/>
          <w:szCs w:val="20"/>
        </w:rPr>
        <w:instrText xml:space="preserve"> SEQ Proposal \* ARABIC </w:instrText>
      </w:r>
      <w:r w:rsidRPr="00F06C39">
        <w:rPr>
          <w:rFonts w:cs="Times New Roman"/>
          <w:b/>
          <w:sz w:val="20"/>
          <w:szCs w:val="20"/>
        </w:rPr>
        <w:fldChar w:fldCharType="separate"/>
      </w:r>
      <w:r w:rsidRPr="00F06C39">
        <w:rPr>
          <w:rFonts w:cs="Times New Roman"/>
          <w:b/>
          <w:sz w:val="20"/>
          <w:szCs w:val="20"/>
        </w:rPr>
        <w:t>5</w:t>
      </w:r>
      <w:r w:rsidRPr="00F06C39">
        <w:rPr>
          <w:rFonts w:cs="Times New Roman"/>
          <w:b/>
          <w:sz w:val="20"/>
          <w:szCs w:val="20"/>
        </w:rPr>
        <w:fldChar w:fldCharType="end"/>
      </w:r>
      <w:r w:rsidRPr="00F06C39">
        <w:rPr>
          <w:rFonts w:cs="Times New Roman"/>
          <w:b/>
          <w:sz w:val="20"/>
          <w:szCs w:val="20"/>
        </w:rPr>
        <w:t xml:space="preserve">: Define detection probability and false alarm </w:t>
      </w:r>
      <w:r w:rsidR="00DD178F">
        <w:rPr>
          <w:rFonts w:cs="Times New Roman"/>
          <w:b/>
          <w:sz w:val="20"/>
          <w:szCs w:val="20"/>
        </w:rPr>
        <w:t>probability</w:t>
      </w:r>
      <w:r w:rsidRPr="00F06C39">
        <w:rPr>
          <w:rFonts w:cs="Times New Roman"/>
          <w:b/>
          <w:sz w:val="20"/>
          <w:szCs w:val="20"/>
        </w:rPr>
        <w:t>, localization accuracy and velocity estimation accuracy as sensing KPIs.</w:t>
      </w:r>
    </w:p>
    <w:p w14:paraId="0BA86D8D" w14:textId="6735A58C" w:rsidR="00DD178F" w:rsidRPr="00303EAB" w:rsidRDefault="00DD178F" w:rsidP="00DD178F">
      <w:pPr>
        <w:pStyle w:val="afa"/>
        <w:numPr>
          <w:ilvl w:val="0"/>
          <w:numId w:val="7"/>
        </w:numPr>
        <w:snapToGrid w:val="0"/>
        <w:spacing w:before="120" w:after="120"/>
        <w:rPr>
          <w:rFonts w:cs="Times New Roman"/>
          <w:b/>
          <w:sz w:val="20"/>
          <w:szCs w:val="20"/>
        </w:rPr>
      </w:pPr>
      <w:r w:rsidRPr="00303EAB">
        <w:rPr>
          <w:rFonts w:cs="Times New Roman"/>
          <w:b/>
          <w:sz w:val="20"/>
          <w:szCs w:val="20"/>
        </w:rPr>
        <w:t>Detection probability: 95%</w:t>
      </w:r>
    </w:p>
    <w:p w14:paraId="131FA982" w14:textId="101CE1A6" w:rsidR="00DD178F" w:rsidRPr="00303EAB" w:rsidRDefault="00DD178F" w:rsidP="00DD178F">
      <w:pPr>
        <w:pStyle w:val="afa"/>
        <w:numPr>
          <w:ilvl w:val="0"/>
          <w:numId w:val="7"/>
        </w:numPr>
        <w:snapToGrid w:val="0"/>
        <w:spacing w:before="120" w:after="120"/>
        <w:rPr>
          <w:rFonts w:cs="Times New Roman"/>
          <w:b/>
          <w:sz w:val="20"/>
          <w:szCs w:val="20"/>
        </w:rPr>
      </w:pPr>
      <w:r w:rsidRPr="00303EAB">
        <w:rPr>
          <w:rFonts w:cs="Times New Roman"/>
          <w:b/>
          <w:sz w:val="20"/>
          <w:szCs w:val="20"/>
        </w:rPr>
        <w:t>False alarm probability: 5%</w:t>
      </w:r>
    </w:p>
    <w:p w14:paraId="3434758A" w14:textId="3F096576" w:rsidR="00DD178F" w:rsidRPr="00303EAB" w:rsidRDefault="00DD178F" w:rsidP="00DD178F">
      <w:pPr>
        <w:pStyle w:val="afa"/>
        <w:numPr>
          <w:ilvl w:val="0"/>
          <w:numId w:val="7"/>
        </w:numPr>
        <w:snapToGrid w:val="0"/>
        <w:spacing w:before="120" w:after="120"/>
        <w:rPr>
          <w:rFonts w:cs="Times New Roman"/>
          <w:b/>
          <w:sz w:val="20"/>
          <w:szCs w:val="20"/>
        </w:rPr>
      </w:pPr>
      <w:r w:rsidRPr="00303EAB">
        <w:rPr>
          <w:rFonts w:cs="Times New Roman"/>
          <w:b/>
          <w:sz w:val="20"/>
          <w:szCs w:val="20"/>
        </w:rPr>
        <w:t>Horizontal localization accuracy: 2m</w:t>
      </w:r>
    </w:p>
    <w:p w14:paraId="6A222EEC" w14:textId="668636A2" w:rsidR="00DD178F" w:rsidRPr="00303EAB" w:rsidRDefault="00DD178F" w:rsidP="00DD178F">
      <w:pPr>
        <w:pStyle w:val="afa"/>
        <w:numPr>
          <w:ilvl w:val="0"/>
          <w:numId w:val="7"/>
        </w:numPr>
        <w:snapToGrid w:val="0"/>
        <w:spacing w:before="120" w:after="120"/>
        <w:rPr>
          <w:rFonts w:cs="Times New Roman"/>
          <w:b/>
          <w:sz w:val="20"/>
          <w:szCs w:val="20"/>
        </w:rPr>
      </w:pPr>
      <w:r w:rsidRPr="00303EAB">
        <w:rPr>
          <w:rFonts w:cs="Times New Roman"/>
          <w:b/>
          <w:sz w:val="20"/>
          <w:szCs w:val="20"/>
        </w:rPr>
        <w:t>Vertical localization accuracy: 5m</w:t>
      </w:r>
    </w:p>
    <w:p w14:paraId="67AECC8F" w14:textId="45EACBBA" w:rsidR="00DD178F" w:rsidRPr="00303EAB" w:rsidRDefault="00DD178F" w:rsidP="00DD178F">
      <w:pPr>
        <w:pStyle w:val="afa"/>
        <w:numPr>
          <w:ilvl w:val="0"/>
          <w:numId w:val="7"/>
        </w:numPr>
        <w:snapToGrid w:val="0"/>
        <w:spacing w:before="120" w:after="120"/>
        <w:rPr>
          <w:rFonts w:cs="Times New Roman"/>
          <w:b/>
          <w:sz w:val="20"/>
          <w:szCs w:val="20"/>
        </w:rPr>
      </w:pPr>
      <w:r w:rsidRPr="00303EAB">
        <w:rPr>
          <w:rFonts w:cs="Times New Roman"/>
          <w:b/>
          <w:sz w:val="20"/>
          <w:szCs w:val="20"/>
        </w:rPr>
        <w:t>Velocity accuracy: 1m/s</w:t>
      </w:r>
    </w:p>
    <w:p w14:paraId="5641C843" w14:textId="77777777" w:rsidR="00876D55" w:rsidRPr="00F06C39" w:rsidRDefault="00876D55" w:rsidP="00F06C39">
      <w:pPr>
        <w:snapToGrid w:val="0"/>
        <w:spacing w:before="120" w:after="120"/>
        <w:rPr>
          <w:rFonts w:cs="Times New Roman"/>
          <w:sz w:val="20"/>
          <w:szCs w:val="20"/>
        </w:rPr>
      </w:pPr>
    </w:p>
    <w:p w14:paraId="34ACA116" w14:textId="77777777" w:rsidR="00876D55" w:rsidRPr="00F06C39" w:rsidRDefault="008A77DE" w:rsidP="00F06C39">
      <w:pPr>
        <w:snapToGrid w:val="0"/>
        <w:spacing w:before="120" w:after="120"/>
        <w:rPr>
          <w:rFonts w:cs="Times New Roman"/>
          <w:sz w:val="20"/>
          <w:szCs w:val="20"/>
        </w:rPr>
      </w:pPr>
      <w:r w:rsidRPr="00F06C39">
        <w:rPr>
          <w:rFonts w:cs="Times New Roman"/>
          <w:sz w:val="20"/>
          <w:szCs w:val="20"/>
        </w:rPr>
        <w:t>Positioning is supported by NR and is expected to be supported by 6GR as well. The KPI for positioning is naturally the positioning accuracy, and we believe it is critical to consider both horizontal and vertical position accuracy at the same time. There are some use cases demanding vertical positioning accuracy, such as emergency (911) services and positioning for UAVs. We propose the definition for positioning KPI as shown below.</w:t>
      </w:r>
    </w:p>
    <w:tbl>
      <w:tblPr>
        <w:tblStyle w:val="af5"/>
        <w:tblW w:w="0" w:type="auto"/>
        <w:tblLook w:val="04A0" w:firstRow="1" w:lastRow="0" w:firstColumn="1" w:lastColumn="0" w:noHBand="0" w:noVBand="1"/>
      </w:tblPr>
      <w:tblGrid>
        <w:gridCol w:w="9629"/>
      </w:tblGrid>
      <w:tr w:rsidR="00876D55" w14:paraId="33A3FA34" w14:textId="77777777">
        <w:tc>
          <w:tcPr>
            <w:tcW w:w="9855" w:type="dxa"/>
          </w:tcPr>
          <w:p w14:paraId="5DAC8E4D" w14:textId="77777777" w:rsidR="00876D55" w:rsidRPr="00F06C39" w:rsidRDefault="008A77DE" w:rsidP="00F06C39">
            <w:pPr>
              <w:snapToGrid w:val="0"/>
              <w:spacing w:before="120" w:after="120"/>
              <w:rPr>
                <w:rFonts w:cs="Times New Roman"/>
                <w:sz w:val="20"/>
                <w:szCs w:val="20"/>
                <w:lang w:val="fr-FR"/>
              </w:rPr>
            </w:pPr>
            <w:bookmarkStart w:id="13" w:name="_Hlk206680443"/>
            <w:r w:rsidRPr="00F06C39">
              <w:rPr>
                <w:rFonts w:cs="Times New Roman"/>
                <w:sz w:val="20"/>
                <w:szCs w:val="20"/>
                <w:lang w:val="fr-FR"/>
              </w:rPr>
              <w:t xml:space="preserve">Positioning is the ability to estimate the position of connected devices. The positioning accuracy is the 90% point of the CDF of the device positioning error for both horizontal and vertical directions. </w:t>
            </w:r>
          </w:p>
          <w:p w14:paraId="3FDBFA7D" w14:textId="77777777" w:rsidR="00876D55" w:rsidRPr="00F06C39" w:rsidRDefault="008A77DE" w:rsidP="00F06C39">
            <w:pPr>
              <w:snapToGrid w:val="0"/>
              <w:spacing w:before="120" w:after="120"/>
              <w:rPr>
                <w:rFonts w:cs="Times New Roman"/>
                <w:sz w:val="20"/>
                <w:szCs w:val="20"/>
                <w:lang w:val="fr-FR"/>
              </w:rPr>
            </w:pPr>
            <w:r w:rsidRPr="00F06C39">
              <w:rPr>
                <w:rFonts w:cs="Times New Roman"/>
                <w:sz w:val="20"/>
                <w:szCs w:val="20"/>
                <w:lang w:val="fr-FR"/>
              </w:rPr>
              <w:t>Horizontal positioning accuracy is defined as the positioning accuracy in the horizontal plane (i.e., x/y axis, or latitude/longitude). Vertical positioning accuracy is defined as the positioning accuracy in the vertical direction (i.e., z-axis, or altitude).</w:t>
            </w:r>
          </w:p>
          <w:p w14:paraId="75255111" w14:textId="77777777" w:rsidR="00876D55" w:rsidRPr="00F06C39" w:rsidRDefault="008A77DE" w:rsidP="00F06C39">
            <w:pPr>
              <w:snapToGrid w:val="0"/>
              <w:spacing w:before="120" w:after="120"/>
              <w:rPr>
                <w:rFonts w:cs="Times New Roman"/>
                <w:sz w:val="20"/>
                <w:szCs w:val="20"/>
                <w:lang w:val="fr-FR"/>
              </w:rPr>
            </w:pPr>
            <w:r w:rsidRPr="00F06C39">
              <w:rPr>
                <w:rFonts w:cs="Times New Roman"/>
                <w:sz w:val="20"/>
                <w:szCs w:val="20"/>
                <w:lang w:val="fr-FR"/>
              </w:rPr>
              <w:t>The minimum requirements for the device positioning accuracy are TBD.</w:t>
            </w:r>
            <w:bookmarkEnd w:id="13"/>
          </w:p>
        </w:tc>
      </w:tr>
    </w:tbl>
    <w:p w14:paraId="3E5C9721" w14:textId="4852CE81" w:rsidR="00A571F6" w:rsidRPr="00A571F6" w:rsidRDefault="00A571F6" w:rsidP="00F06C39">
      <w:pPr>
        <w:snapToGrid w:val="0"/>
        <w:spacing w:before="120" w:after="120"/>
        <w:rPr>
          <w:rFonts w:cs="Times New Roman"/>
          <w:sz w:val="20"/>
          <w:szCs w:val="20"/>
        </w:rPr>
      </w:pPr>
      <w:r>
        <w:rPr>
          <w:rFonts w:cs="Times New Roman" w:hint="eastAsia"/>
          <w:sz w:val="20"/>
          <w:szCs w:val="20"/>
        </w:rPr>
        <w:t>B</w:t>
      </w:r>
      <w:r>
        <w:rPr>
          <w:rFonts w:cs="Times New Roman"/>
          <w:sz w:val="20"/>
          <w:szCs w:val="20"/>
        </w:rPr>
        <w:t xml:space="preserve">ased on ITU-R M.2160 and </w:t>
      </w:r>
      <w:r w:rsidR="00BA2D15">
        <w:rPr>
          <w:rFonts w:cs="Times New Roman"/>
          <w:sz w:val="20"/>
          <w:szCs w:val="20"/>
        </w:rPr>
        <w:t>achievable positioning accuracy captured in TR38.855 and TR38.857</w:t>
      </w:r>
      <w:r>
        <w:rPr>
          <w:rFonts w:cs="Times New Roman"/>
          <w:sz w:val="20"/>
          <w:szCs w:val="20"/>
        </w:rPr>
        <w:t>, the target of the positioning accuracy</w:t>
      </w:r>
      <w:r w:rsidR="00BA2D15">
        <w:rPr>
          <w:rFonts w:cs="Times New Roman"/>
          <w:sz w:val="20"/>
          <w:szCs w:val="20"/>
        </w:rPr>
        <w:t xml:space="preserve"> is proposed as below</w:t>
      </w:r>
      <w:r>
        <w:rPr>
          <w:rFonts w:cs="Times New Roman"/>
          <w:sz w:val="20"/>
          <w:szCs w:val="20"/>
        </w:rPr>
        <w:t xml:space="preserve"> </w:t>
      </w:r>
    </w:p>
    <w:p w14:paraId="34C26EA3" w14:textId="2BC8F56B" w:rsidR="00876D55" w:rsidRPr="00BA2D15" w:rsidRDefault="008A77DE" w:rsidP="00F06C39">
      <w:pPr>
        <w:snapToGrid w:val="0"/>
        <w:spacing w:before="120" w:after="120"/>
        <w:rPr>
          <w:rFonts w:cs="Times New Roman"/>
          <w:b/>
          <w:sz w:val="20"/>
          <w:szCs w:val="20"/>
        </w:rPr>
      </w:pPr>
      <w:r w:rsidRPr="00BA2D15">
        <w:rPr>
          <w:rFonts w:cs="Times New Roman"/>
          <w:b/>
          <w:sz w:val="20"/>
          <w:szCs w:val="20"/>
        </w:rPr>
        <w:t xml:space="preserve">Proposal </w:t>
      </w:r>
      <w:r w:rsidRPr="00BA2D15">
        <w:rPr>
          <w:rFonts w:cs="Times New Roman"/>
          <w:b/>
          <w:sz w:val="20"/>
          <w:szCs w:val="20"/>
        </w:rPr>
        <w:fldChar w:fldCharType="begin"/>
      </w:r>
      <w:r w:rsidRPr="00BA2D15">
        <w:rPr>
          <w:rFonts w:cs="Times New Roman"/>
          <w:b/>
          <w:sz w:val="20"/>
          <w:szCs w:val="20"/>
        </w:rPr>
        <w:instrText xml:space="preserve"> SEQ Proposal \* ARABIC </w:instrText>
      </w:r>
      <w:r w:rsidRPr="00BA2D15">
        <w:rPr>
          <w:rFonts w:cs="Times New Roman"/>
          <w:b/>
          <w:sz w:val="20"/>
          <w:szCs w:val="20"/>
        </w:rPr>
        <w:fldChar w:fldCharType="separate"/>
      </w:r>
      <w:r w:rsidRPr="00BA2D15">
        <w:rPr>
          <w:rFonts w:cs="Times New Roman"/>
          <w:b/>
          <w:sz w:val="20"/>
          <w:szCs w:val="20"/>
        </w:rPr>
        <w:t>6</w:t>
      </w:r>
      <w:r w:rsidRPr="00BA2D15">
        <w:rPr>
          <w:rFonts w:cs="Times New Roman"/>
          <w:b/>
          <w:sz w:val="20"/>
          <w:szCs w:val="20"/>
        </w:rPr>
        <w:fldChar w:fldCharType="end"/>
      </w:r>
      <w:r w:rsidRPr="00BA2D15">
        <w:rPr>
          <w:rFonts w:cs="Times New Roman"/>
          <w:b/>
          <w:sz w:val="20"/>
          <w:szCs w:val="20"/>
        </w:rPr>
        <w:t>: Define both horizontal and vertical positioning accuracy.</w:t>
      </w:r>
    </w:p>
    <w:p w14:paraId="08DC2BC4" w14:textId="6B856624" w:rsidR="00BA2D15" w:rsidRPr="00303EAB" w:rsidRDefault="00BA2D15" w:rsidP="00303EAB">
      <w:pPr>
        <w:pStyle w:val="afa"/>
        <w:numPr>
          <w:ilvl w:val="1"/>
          <w:numId w:val="9"/>
        </w:numPr>
        <w:snapToGrid w:val="0"/>
        <w:spacing w:before="120" w:after="120"/>
        <w:rPr>
          <w:rFonts w:cs="Times New Roman"/>
          <w:b/>
          <w:sz w:val="20"/>
          <w:szCs w:val="20"/>
        </w:rPr>
      </w:pPr>
      <w:r>
        <w:rPr>
          <w:rFonts w:cs="Times New Roman"/>
          <w:b/>
          <w:sz w:val="20"/>
          <w:szCs w:val="20"/>
        </w:rPr>
        <w:lastRenderedPageBreak/>
        <w:t xml:space="preserve">Horizontal positioning accuracy: 20cm-1m (indoor), 3m (outdoor) </w:t>
      </w:r>
      <w:r w:rsidRPr="00BA2D15">
        <w:rPr>
          <w:rFonts w:cs="Times New Roman"/>
          <w:b/>
          <w:sz w:val="20"/>
          <w:szCs w:val="20"/>
        </w:rPr>
        <w:t>for 90% of UEs</w:t>
      </w:r>
    </w:p>
    <w:p w14:paraId="221B4393" w14:textId="12101F13" w:rsidR="00876D55" w:rsidRDefault="00BA2D15" w:rsidP="00F06C39">
      <w:pPr>
        <w:pStyle w:val="afa"/>
        <w:numPr>
          <w:ilvl w:val="1"/>
          <w:numId w:val="9"/>
        </w:numPr>
        <w:snapToGrid w:val="0"/>
        <w:spacing w:before="120" w:after="120"/>
        <w:rPr>
          <w:rFonts w:cs="Times New Roman"/>
          <w:b/>
          <w:sz w:val="20"/>
          <w:szCs w:val="20"/>
        </w:rPr>
      </w:pPr>
      <w:r>
        <w:rPr>
          <w:rFonts w:cs="Times New Roman"/>
          <w:b/>
          <w:sz w:val="20"/>
          <w:szCs w:val="20"/>
        </w:rPr>
        <w:t xml:space="preserve">Vertical positioning accuracy: 5m </w:t>
      </w:r>
      <w:r w:rsidRPr="00BA2D15">
        <w:rPr>
          <w:rFonts w:cs="Times New Roman"/>
          <w:b/>
          <w:sz w:val="20"/>
          <w:szCs w:val="20"/>
        </w:rPr>
        <w:t>for 90% of UEs</w:t>
      </w:r>
    </w:p>
    <w:p w14:paraId="713D0593" w14:textId="77777777" w:rsidR="001F2E2C" w:rsidRPr="00514CE5" w:rsidRDefault="001F2E2C" w:rsidP="001F2E2C">
      <w:pPr>
        <w:spacing w:before="120" w:after="120"/>
        <w:rPr>
          <w:sz w:val="20"/>
          <w:szCs w:val="20"/>
        </w:rPr>
      </w:pPr>
    </w:p>
    <w:p w14:paraId="47EEC525" w14:textId="720EE5D3" w:rsidR="001F2E2C" w:rsidRPr="00514CE5" w:rsidRDefault="001F2E2C" w:rsidP="00875FAF">
      <w:pPr>
        <w:spacing w:before="120" w:after="120"/>
        <w:rPr>
          <w:sz w:val="20"/>
          <w:szCs w:val="20"/>
        </w:rPr>
      </w:pPr>
      <w:r w:rsidRPr="00514CE5">
        <w:rPr>
          <w:sz w:val="20"/>
          <w:szCs w:val="20"/>
        </w:rPr>
        <w:t xml:space="preserve">With regards to the mobility interruption time, it should be noted that the basic mobility comes in two </w:t>
      </w:r>
      <w:proofErr w:type="spellStart"/>
      <w:r w:rsidRPr="00514CE5">
        <w:rPr>
          <w:sz w:val="20"/>
          <w:szCs w:val="20"/>
        </w:rPr>
        <w:t>flavours</w:t>
      </w:r>
      <w:proofErr w:type="spellEnd"/>
      <w:r w:rsidRPr="00514CE5">
        <w:rPr>
          <w:sz w:val="20"/>
          <w:szCs w:val="20"/>
        </w:rPr>
        <w:t xml:space="preserve">: UE controlled and network controlled. In case of 5G, in addition to the basic mobility features, a number of mobility enhancements were specified in successive releases and this resulted in features such as LTM, CLTM, CHO, etc. In 6G the mobility framework should consider all these features and main focus should be on a unified </w:t>
      </w:r>
      <w:r w:rsidRPr="00514CE5">
        <w:rPr>
          <w:rFonts w:hint="eastAsia"/>
          <w:sz w:val="20"/>
          <w:szCs w:val="20"/>
        </w:rPr>
        <w:t xml:space="preserve">and simplified </w:t>
      </w:r>
      <w:r w:rsidRPr="00514CE5">
        <w:rPr>
          <w:sz w:val="20"/>
          <w:szCs w:val="20"/>
        </w:rPr>
        <w:t>framework for mobility. The final detailed design for mobility depends partly on the R</w:t>
      </w:r>
      <w:r w:rsidRPr="00514CE5">
        <w:rPr>
          <w:rFonts w:hint="eastAsia"/>
          <w:sz w:val="20"/>
          <w:szCs w:val="20"/>
        </w:rPr>
        <w:t>AN</w:t>
      </w:r>
      <w:r w:rsidRPr="00514CE5">
        <w:rPr>
          <w:sz w:val="20"/>
          <w:szCs w:val="20"/>
        </w:rPr>
        <w:t xml:space="preserve"> level security framework and also RAN architecture. </w:t>
      </w:r>
    </w:p>
    <w:p w14:paraId="2E0DF5D5" w14:textId="2CD716A9" w:rsidR="001F2E2C" w:rsidRPr="00514CE5" w:rsidRDefault="001F2E2C" w:rsidP="00875FAF">
      <w:pPr>
        <w:spacing w:before="120" w:after="120"/>
        <w:rPr>
          <w:sz w:val="20"/>
          <w:szCs w:val="20"/>
        </w:rPr>
      </w:pPr>
      <w:r w:rsidRPr="00514CE5">
        <w:rPr>
          <w:sz w:val="20"/>
          <w:szCs w:val="20"/>
        </w:rPr>
        <w:t xml:space="preserve">Furthermore, one of the key considerations for the mobility framework is the overall design for spectrum aggregation (including support for CA and/or DC </w:t>
      </w:r>
      <w:proofErr w:type="spellStart"/>
      <w:r w:rsidRPr="00514CE5">
        <w:rPr>
          <w:sz w:val="20"/>
          <w:szCs w:val="20"/>
        </w:rPr>
        <w:t>etc</w:t>
      </w:r>
      <w:proofErr w:type="spellEnd"/>
      <w:r w:rsidRPr="00514CE5">
        <w:rPr>
          <w:sz w:val="20"/>
          <w:szCs w:val="20"/>
        </w:rPr>
        <w:t>) a</w:t>
      </w:r>
      <w:r w:rsidRPr="00514CE5">
        <w:rPr>
          <w:rFonts w:hint="eastAsia"/>
          <w:sz w:val="20"/>
          <w:szCs w:val="20"/>
        </w:rPr>
        <w:t xml:space="preserve">nd the </w:t>
      </w:r>
      <w:r w:rsidRPr="00514CE5">
        <w:rPr>
          <w:sz w:val="20"/>
          <w:szCs w:val="20"/>
        </w:rPr>
        <w:t>general design to</w:t>
      </w:r>
      <w:r w:rsidRPr="00514CE5">
        <w:rPr>
          <w:rFonts w:hint="eastAsia"/>
          <w:sz w:val="20"/>
          <w:szCs w:val="20"/>
          <w:lang w:bidi="ar"/>
        </w:rPr>
        <w:t xml:space="preserve"> minimize the throughput fluctuation during the handover in case CA/DC is configured</w:t>
      </w:r>
      <w:r w:rsidRPr="00514CE5">
        <w:rPr>
          <w:sz w:val="20"/>
          <w:szCs w:val="20"/>
          <w:lang w:bidi="ar"/>
        </w:rPr>
        <w:t xml:space="preserve">. Furthermore, applications such as autonomous driving require that there is no interruption time during mobility. Thus, a target of 0 </w:t>
      </w:r>
      <w:proofErr w:type="spellStart"/>
      <w:r w:rsidRPr="00514CE5">
        <w:rPr>
          <w:sz w:val="20"/>
          <w:szCs w:val="20"/>
          <w:lang w:bidi="ar"/>
        </w:rPr>
        <w:t>ms</w:t>
      </w:r>
      <w:proofErr w:type="spellEnd"/>
      <w:r w:rsidRPr="00514CE5">
        <w:rPr>
          <w:sz w:val="20"/>
          <w:szCs w:val="20"/>
          <w:lang w:bidi="ar"/>
        </w:rPr>
        <w:t xml:space="preserve"> mobility interruption time should be included as part of the 6G system</w:t>
      </w:r>
      <w:r w:rsidR="00CD1F46">
        <w:rPr>
          <w:rFonts w:hint="eastAsia"/>
          <w:sz w:val="20"/>
          <w:szCs w:val="20"/>
          <w:lang w:bidi="ar"/>
        </w:rPr>
        <w:t xml:space="preserve"> KPI</w:t>
      </w:r>
      <w:r w:rsidRPr="00514CE5">
        <w:rPr>
          <w:sz w:val="20"/>
          <w:szCs w:val="20"/>
          <w:lang w:bidi="ar"/>
        </w:rPr>
        <w:t>.</w:t>
      </w:r>
      <w:r w:rsidR="00CD1F46">
        <w:rPr>
          <w:rFonts w:hint="eastAsia"/>
          <w:sz w:val="20"/>
          <w:szCs w:val="20"/>
          <w:lang w:bidi="ar"/>
        </w:rPr>
        <w:t xml:space="preserve"> </w:t>
      </w:r>
      <w:r w:rsidRPr="00514CE5">
        <w:rPr>
          <w:sz w:val="20"/>
          <w:szCs w:val="20"/>
          <w:lang w:bidi="ar"/>
        </w:rPr>
        <w:t xml:space="preserve">The target of 0 </w:t>
      </w:r>
      <w:proofErr w:type="spellStart"/>
      <w:r w:rsidRPr="00514CE5">
        <w:rPr>
          <w:sz w:val="20"/>
          <w:szCs w:val="20"/>
          <w:lang w:bidi="ar"/>
        </w:rPr>
        <w:t>ms</w:t>
      </w:r>
      <w:proofErr w:type="spellEnd"/>
      <w:r w:rsidRPr="00514CE5">
        <w:rPr>
          <w:sz w:val="20"/>
          <w:szCs w:val="20"/>
          <w:lang w:bidi="ar"/>
        </w:rPr>
        <w:t xml:space="preserve"> interruption time should be achievable in a simple and realistic mobility framework for 6G. As noted in 3GPP TR 37.910, 0 </w:t>
      </w:r>
      <w:proofErr w:type="spellStart"/>
      <w:r w:rsidRPr="00514CE5">
        <w:rPr>
          <w:sz w:val="20"/>
          <w:szCs w:val="20"/>
          <w:lang w:bidi="ar"/>
        </w:rPr>
        <w:t>ms</w:t>
      </w:r>
      <w:proofErr w:type="spellEnd"/>
      <w:r w:rsidRPr="00514CE5">
        <w:rPr>
          <w:sz w:val="20"/>
          <w:szCs w:val="20"/>
          <w:lang w:bidi="ar"/>
        </w:rPr>
        <w:t xml:space="preserve"> interruption time can be achieved in 5G for instance by using beam mobility and/or CA based mobility framework. Thus, in 6G this can be a realistic target using beam mobility and/or CA based mobility combined with features such</w:t>
      </w:r>
      <w:r w:rsidRPr="002D69D4">
        <w:rPr>
          <w:sz w:val="20"/>
          <w:szCs w:val="20"/>
          <w:lang w:bidi="ar"/>
        </w:rPr>
        <w:t xml:space="preserve"> as cell-free and/or fas</w:t>
      </w:r>
      <w:r w:rsidRPr="00514CE5">
        <w:rPr>
          <w:sz w:val="20"/>
          <w:szCs w:val="20"/>
          <w:lang w:bidi="ar"/>
        </w:rPr>
        <w:t xml:space="preserve">t role change between </w:t>
      </w:r>
      <w:proofErr w:type="spellStart"/>
      <w:r w:rsidRPr="00514CE5">
        <w:rPr>
          <w:sz w:val="20"/>
          <w:szCs w:val="20"/>
          <w:lang w:bidi="ar"/>
        </w:rPr>
        <w:t>SCell</w:t>
      </w:r>
      <w:proofErr w:type="spellEnd"/>
      <w:r w:rsidRPr="00514CE5">
        <w:rPr>
          <w:sz w:val="20"/>
          <w:szCs w:val="20"/>
          <w:lang w:bidi="ar"/>
        </w:rPr>
        <w:t xml:space="preserve"> and </w:t>
      </w:r>
      <w:proofErr w:type="spellStart"/>
      <w:r w:rsidRPr="00514CE5">
        <w:rPr>
          <w:sz w:val="20"/>
          <w:szCs w:val="20"/>
          <w:lang w:bidi="ar"/>
        </w:rPr>
        <w:t>PCell</w:t>
      </w:r>
      <w:proofErr w:type="spellEnd"/>
      <w:r w:rsidRPr="00514CE5">
        <w:rPr>
          <w:sz w:val="20"/>
          <w:szCs w:val="20"/>
          <w:lang w:bidi="ar"/>
        </w:rPr>
        <w:t>.</w:t>
      </w:r>
    </w:p>
    <w:p w14:paraId="689CBA9A" w14:textId="78A95605" w:rsidR="001F2E2C" w:rsidRDefault="001F2E2C" w:rsidP="00875FAF">
      <w:pPr>
        <w:spacing w:before="120" w:after="120"/>
        <w:rPr>
          <w:b/>
          <w:bCs/>
          <w:sz w:val="20"/>
          <w:szCs w:val="20"/>
        </w:rPr>
      </w:pPr>
      <w:r w:rsidRPr="00514CE5">
        <w:rPr>
          <w:b/>
          <w:bCs/>
          <w:sz w:val="20"/>
          <w:szCs w:val="20"/>
        </w:rPr>
        <w:t xml:space="preserve">Proposal 7: The mobility interruption time of 0 </w:t>
      </w:r>
      <w:proofErr w:type="spellStart"/>
      <w:r w:rsidRPr="00514CE5">
        <w:rPr>
          <w:b/>
          <w:bCs/>
          <w:sz w:val="20"/>
          <w:szCs w:val="20"/>
        </w:rPr>
        <w:t>ms</w:t>
      </w:r>
      <w:proofErr w:type="spellEnd"/>
      <w:r w:rsidRPr="00514CE5">
        <w:rPr>
          <w:b/>
          <w:bCs/>
          <w:sz w:val="20"/>
          <w:szCs w:val="20"/>
        </w:rPr>
        <w:t xml:space="preserve"> in 6G should be targeted in typical scenarios, aiming for a unified mobility framework for network-controlled mobility. </w:t>
      </w:r>
    </w:p>
    <w:p w14:paraId="2019A709" w14:textId="77777777" w:rsidR="00AF63F6" w:rsidRPr="00514CE5" w:rsidRDefault="00AF63F6" w:rsidP="00AF63F6">
      <w:pPr>
        <w:spacing w:before="120" w:after="120"/>
        <w:rPr>
          <w:sz w:val="20"/>
          <w:szCs w:val="20"/>
        </w:rPr>
      </w:pPr>
    </w:p>
    <w:p w14:paraId="2F886F11" w14:textId="74215D78" w:rsidR="00AF63F6" w:rsidRPr="00514CE5" w:rsidRDefault="00AF63F6" w:rsidP="00AF63F6">
      <w:pPr>
        <w:spacing w:before="120" w:after="120"/>
        <w:rPr>
          <w:rFonts w:hint="eastAsia"/>
          <w:b/>
          <w:bCs/>
          <w:sz w:val="20"/>
          <w:szCs w:val="20"/>
        </w:rPr>
      </w:pPr>
      <w:r w:rsidRPr="00514CE5">
        <w:rPr>
          <w:sz w:val="20"/>
          <w:szCs w:val="20"/>
        </w:rPr>
        <w:t>W</w:t>
      </w:r>
      <w:r>
        <w:rPr>
          <w:rFonts w:hint="eastAsia"/>
          <w:sz w:val="20"/>
          <w:szCs w:val="20"/>
        </w:rPr>
        <w:t>e implement the above suggested points in a text proposal submitted to this meeting, RP-252025.</w:t>
      </w:r>
    </w:p>
    <w:p w14:paraId="0AFC2883" w14:textId="77777777" w:rsidR="00876D55" w:rsidRDefault="008A77DE" w:rsidP="00F06C39">
      <w:pPr>
        <w:pStyle w:val="1"/>
        <w:numPr>
          <w:ilvl w:val="0"/>
          <w:numId w:val="2"/>
        </w:numPr>
        <w:snapToGrid w:val="0"/>
        <w:spacing w:line="276" w:lineRule="auto"/>
        <w:rPr>
          <w:rFonts w:cs="Arial"/>
          <w:szCs w:val="22"/>
        </w:rPr>
      </w:pPr>
      <w:r>
        <w:rPr>
          <w:rFonts w:cs="Arial"/>
          <w:szCs w:val="22"/>
        </w:rPr>
        <w:t>Summary</w:t>
      </w:r>
    </w:p>
    <w:p w14:paraId="06AACF5C" w14:textId="77777777" w:rsidR="00876D55" w:rsidRPr="00F06C39" w:rsidRDefault="008A77DE" w:rsidP="00F06C39">
      <w:pPr>
        <w:snapToGrid w:val="0"/>
        <w:spacing w:before="120" w:after="120"/>
        <w:rPr>
          <w:rFonts w:cs="Times New Roman"/>
          <w:b/>
          <w:sz w:val="20"/>
          <w:szCs w:val="20"/>
        </w:rPr>
      </w:pPr>
      <w:r w:rsidRPr="00F06C39">
        <w:rPr>
          <w:rFonts w:cs="Times New Roman"/>
          <w:b/>
          <w:sz w:val="20"/>
          <w:szCs w:val="20"/>
        </w:rPr>
        <w:t xml:space="preserve">Proposal 1: Do not define new KPIs for coverage, </w:t>
      </w:r>
      <w:r>
        <w:rPr>
          <w:rFonts w:cs="Times New Roman" w:hint="eastAsia"/>
          <w:b/>
          <w:sz w:val="20"/>
          <w:szCs w:val="20"/>
        </w:rPr>
        <w:t xml:space="preserve">i.e. </w:t>
      </w:r>
      <w:r w:rsidRPr="00F06C39">
        <w:rPr>
          <w:rFonts w:cs="Times New Roman"/>
          <w:b/>
          <w:sz w:val="20"/>
          <w:szCs w:val="20"/>
        </w:rPr>
        <w:t>re-use the definition in section 7.10 in TR 38.913.</w:t>
      </w:r>
    </w:p>
    <w:p w14:paraId="61E19E83" w14:textId="77777777" w:rsidR="00876D55" w:rsidRPr="00F06C39" w:rsidRDefault="008A77DE" w:rsidP="00F06C39">
      <w:pPr>
        <w:snapToGrid w:val="0"/>
        <w:spacing w:before="120" w:after="120"/>
        <w:rPr>
          <w:rFonts w:cs="Times New Roman"/>
          <w:sz w:val="20"/>
          <w:szCs w:val="20"/>
        </w:rPr>
      </w:pPr>
      <w:r w:rsidRPr="00F06C39">
        <w:rPr>
          <w:rFonts w:cs="Times New Roman"/>
          <w:b/>
          <w:sz w:val="20"/>
          <w:szCs w:val="20"/>
        </w:rPr>
        <w:t xml:space="preserve">Observation </w:t>
      </w:r>
      <w:r w:rsidRPr="00F06C39">
        <w:rPr>
          <w:rFonts w:cs="Times New Roman"/>
          <w:b/>
          <w:bCs/>
          <w:sz w:val="20"/>
          <w:szCs w:val="20"/>
        </w:rPr>
        <w:fldChar w:fldCharType="begin"/>
      </w:r>
      <w:r w:rsidRPr="00F06C39">
        <w:rPr>
          <w:rFonts w:cs="Times New Roman"/>
          <w:b/>
          <w:sz w:val="20"/>
          <w:szCs w:val="20"/>
        </w:rPr>
        <w:instrText xml:space="preserve"> SEQ Observation \* ARABIC </w:instrText>
      </w:r>
      <w:r w:rsidRPr="00F06C39">
        <w:rPr>
          <w:rFonts w:cs="Times New Roman"/>
          <w:b/>
          <w:bCs/>
          <w:sz w:val="20"/>
          <w:szCs w:val="20"/>
        </w:rPr>
        <w:fldChar w:fldCharType="separate"/>
      </w:r>
      <w:r w:rsidRPr="00F06C39">
        <w:rPr>
          <w:rFonts w:cs="Times New Roman"/>
          <w:b/>
          <w:sz w:val="20"/>
          <w:szCs w:val="20"/>
        </w:rPr>
        <w:t>1</w:t>
      </w:r>
      <w:r w:rsidRPr="00F06C39">
        <w:rPr>
          <w:rFonts w:cs="Times New Roman"/>
          <w:b/>
          <w:bCs/>
          <w:sz w:val="20"/>
          <w:szCs w:val="20"/>
        </w:rPr>
        <w:fldChar w:fldCharType="end"/>
      </w:r>
      <w:r w:rsidRPr="00F06C39">
        <w:rPr>
          <w:rFonts w:cs="Times New Roman"/>
          <w:b/>
          <w:sz w:val="20"/>
          <w:szCs w:val="20"/>
        </w:rPr>
        <w:t xml:space="preserve">: </w:t>
      </w:r>
      <w:r w:rsidRPr="00F06C39">
        <w:rPr>
          <w:rFonts w:cs="Times New Roman"/>
          <w:sz w:val="20"/>
          <w:szCs w:val="20"/>
        </w:rPr>
        <w:t xml:space="preserve">According to TR 37.910 “Study on </w:t>
      </w:r>
      <w:proofErr w:type="spellStart"/>
      <w:r w:rsidRPr="00F06C39">
        <w:rPr>
          <w:rFonts w:cs="Times New Roman"/>
          <w:sz w:val="20"/>
          <w:szCs w:val="20"/>
        </w:rPr>
        <w:t>self evaluation</w:t>
      </w:r>
      <w:proofErr w:type="spellEnd"/>
      <w:r w:rsidRPr="00F06C39">
        <w:rPr>
          <w:rFonts w:cs="Times New Roman"/>
          <w:sz w:val="20"/>
          <w:szCs w:val="20"/>
        </w:rPr>
        <w:t xml:space="preserve"> towards IMT-2020 submission”, many of the proposed IMT-2020 TPR target values are met by 3GPP NR technologies with a huge margin.</w:t>
      </w:r>
    </w:p>
    <w:p w14:paraId="278AFA3B" w14:textId="77777777" w:rsidR="00876D55" w:rsidRPr="00F06C39" w:rsidRDefault="008A77DE" w:rsidP="00F06C39">
      <w:pPr>
        <w:snapToGrid w:val="0"/>
        <w:spacing w:before="120" w:after="120"/>
        <w:rPr>
          <w:rFonts w:cs="Times New Roman"/>
          <w:b/>
          <w:sz w:val="20"/>
          <w:szCs w:val="20"/>
        </w:rPr>
      </w:pPr>
      <w:r w:rsidRPr="00F06C39">
        <w:rPr>
          <w:rFonts w:cs="Times New Roman"/>
          <w:b/>
          <w:sz w:val="20"/>
          <w:szCs w:val="20"/>
        </w:rPr>
        <w:t xml:space="preserve">Observation </w:t>
      </w:r>
      <w:r w:rsidRPr="00F06C39">
        <w:rPr>
          <w:rFonts w:cs="Times New Roman"/>
          <w:b/>
          <w:bCs/>
          <w:sz w:val="20"/>
          <w:szCs w:val="20"/>
        </w:rPr>
        <w:fldChar w:fldCharType="begin"/>
      </w:r>
      <w:r w:rsidRPr="00F06C39">
        <w:rPr>
          <w:rFonts w:cs="Times New Roman"/>
          <w:b/>
          <w:sz w:val="20"/>
          <w:szCs w:val="20"/>
        </w:rPr>
        <w:instrText xml:space="preserve"> SEQ Observation \* ARABIC </w:instrText>
      </w:r>
      <w:r w:rsidRPr="00F06C39">
        <w:rPr>
          <w:rFonts w:cs="Times New Roman"/>
          <w:b/>
          <w:bCs/>
          <w:sz w:val="20"/>
          <w:szCs w:val="20"/>
        </w:rPr>
        <w:fldChar w:fldCharType="separate"/>
      </w:r>
      <w:r w:rsidRPr="00F06C39">
        <w:rPr>
          <w:rFonts w:cs="Times New Roman"/>
          <w:b/>
          <w:sz w:val="20"/>
          <w:szCs w:val="20"/>
        </w:rPr>
        <w:t>2</w:t>
      </w:r>
      <w:r w:rsidRPr="00F06C39">
        <w:rPr>
          <w:rFonts w:cs="Times New Roman"/>
          <w:b/>
          <w:bCs/>
          <w:sz w:val="20"/>
          <w:szCs w:val="20"/>
        </w:rPr>
        <w:fldChar w:fldCharType="end"/>
      </w:r>
      <w:r w:rsidRPr="00F06C39">
        <w:rPr>
          <w:rFonts w:cs="Times New Roman"/>
          <w:b/>
          <w:sz w:val="20"/>
          <w:szCs w:val="20"/>
        </w:rPr>
        <w:t xml:space="preserve">: </w:t>
      </w:r>
      <w:r w:rsidRPr="00F06C39">
        <w:rPr>
          <w:rFonts w:cs="Times New Roman"/>
          <w:sz w:val="20"/>
          <w:szCs w:val="20"/>
        </w:rPr>
        <w:t>From ITU evaluation perspective, a technology proposal meets the requirement if any of a supported configuration meets the requirement.</w:t>
      </w:r>
    </w:p>
    <w:p w14:paraId="19AE7FD4" w14:textId="77777777" w:rsidR="00876D55" w:rsidRPr="00F06C39" w:rsidRDefault="008A77DE" w:rsidP="00F06C39">
      <w:pPr>
        <w:snapToGrid w:val="0"/>
        <w:spacing w:before="120" w:after="120"/>
        <w:rPr>
          <w:rFonts w:cs="Times New Roman"/>
          <w:b/>
          <w:sz w:val="20"/>
          <w:szCs w:val="20"/>
        </w:rPr>
      </w:pPr>
      <w:r w:rsidRPr="00F06C39">
        <w:rPr>
          <w:rFonts w:cs="Times New Roman"/>
          <w:b/>
          <w:sz w:val="20"/>
          <w:szCs w:val="20"/>
        </w:rPr>
        <w:t xml:space="preserve">Observation </w:t>
      </w:r>
      <w:r w:rsidRPr="00F06C39">
        <w:rPr>
          <w:rFonts w:cs="Times New Roman"/>
          <w:b/>
          <w:bCs/>
          <w:sz w:val="20"/>
          <w:szCs w:val="20"/>
        </w:rPr>
        <w:fldChar w:fldCharType="begin"/>
      </w:r>
      <w:r w:rsidRPr="00F06C39">
        <w:rPr>
          <w:rFonts w:cs="Times New Roman"/>
          <w:b/>
          <w:sz w:val="20"/>
          <w:szCs w:val="20"/>
        </w:rPr>
        <w:instrText xml:space="preserve"> SEQ Observation \* ARABIC </w:instrText>
      </w:r>
      <w:r w:rsidRPr="00F06C39">
        <w:rPr>
          <w:rFonts w:cs="Times New Roman"/>
          <w:b/>
          <w:bCs/>
          <w:sz w:val="20"/>
          <w:szCs w:val="20"/>
        </w:rPr>
        <w:fldChar w:fldCharType="separate"/>
      </w:r>
      <w:r w:rsidRPr="00F06C39">
        <w:rPr>
          <w:rFonts w:cs="Times New Roman"/>
          <w:b/>
          <w:sz w:val="20"/>
          <w:szCs w:val="20"/>
        </w:rPr>
        <w:t>3</w:t>
      </w:r>
      <w:r w:rsidRPr="00F06C39">
        <w:rPr>
          <w:rFonts w:cs="Times New Roman"/>
          <w:b/>
          <w:bCs/>
          <w:sz w:val="20"/>
          <w:szCs w:val="20"/>
        </w:rPr>
        <w:fldChar w:fldCharType="end"/>
      </w:r>
      <w:r w:rsidRPr="00F06C39">
        <w:rPr>
          <w:rFonts w:cs="Times New Roman"/>
          <w:b/>
          <w:sz w:val="20"/>
          <w:szCs w:val="20"/>
        </w:rPr>
        <w:t xml:space="preserve">: </w:t>
      </w:r>
      <w:r w:rsidRPr="00F06C39">
        <w:rPr>
          <w:rFonts w:cs="Times New Roman"/>
          <w:sz w:val="20"/>
          <w:szCs w:val="20"/>
        </w:rPr>
        <w:t>The ITU ‘minimum’ TPR can be met by using any of the configuration supported by a technology, or, equivalently, the configuration resulting the best performance.</w:t>
      </w:r>
    </w:p>
    <w:p w14:paraId="566AAC0D" w14:textId="77777777" w:rsidR="00876D55" w:rsidRPr="00F06C39" w:rsidRDefault="008A77DE" w:rsidP="00F06C39">
      <w:pPr>
        <w:snapToGrid w:val="0"/>
        <w:spacing w:before="120" w:after="120"/>
        <w:rPr>
          <w:rFonts w:cs="Times New Roman"/>
          <w:b/>
          <w:sz w:val="20"/>
          <w:szCs w:val="20"/>
        </w:rPr>
      </w:pPr>
      <w:r w:rsidRPr="00F06C39">
        <w:rPr>
          <w:rFonts w:cs="Times New Roman"/>
          <w:b/>
          <w:sz w:val="20"/>
          <w:szCs w:val="20"/>
        </w:rPr>
        <w:t xml:space="preserve">Proposal </w:t>
      </w:r>
      <w:r w:rsidRPr="00F06C39">
        <w:rPr>
          <w:rFonts w:cs="Times New Roman"/>
          <w:b/>
          <w:sz w:val="20"/>
          <w:szCs w:val="20"/>
        </w:rPr>
        <w:fldChar w:fldCharType="begin"/>
      </w:r>
      <w:r w:rsidRPr="00F06C39">
        <w:rPr>
          <w:rFonts w:cs="Times New Roman"/>
          <w:b/>
          <w:sz w:val="20"/>
          <w:szCs w:val="20"/>
        </w:rPr>
        <w:instrText xml:space="preserve"> SEQ Proposal \* ARABIC </w:instrText>
      </w:r>
      <w:r w:rsidRPr="00F06C39">
        <w:rPr>
          <w:rFonts w:cs="Times New Roman"/>
          <w:b/>
          <w:sz w:val="20"/>
          <w:szCs w:val="20"/>
        </w:rPr>
        <w:fldChar w:fldCharType="separate"/>
      </w:r>
      <w:r w:rsidRPr="00F06C39">
        <w:rPr>
          <w:rFonts w:cs="Times New Roman"/>
          <w:b/>
          <w:sz w:val="20"/>
          <w:szCs w:val="20"/>
        </w:rPr>
        <w:t>2</w:t>
      </w:r>
      <w:r w:rsidRPr="00F06C39">
        <w:rPr>
          <w:rFonts w:cs="Times New Roman"/>
          <w:b/>
          <w:sz w:val="20"/>
          <w:szCs w:val="20"/>
        </w:rPr>
        <w:fldChar w:fldCharType="end"/>
      </w:r>
      <w:r w:rsidRPr="00F06C39">
        <w:rPr>
          <w:rFonts w:cs="Times New Roman"/>
          <w:b/>
          <w:sz w:val="20"/>
          <w:szCs w:val="20"/>
        </w:rPr>
        <w:t>: Consider up to 16 UE Rx for device types such as CPEs at 7 GHz for evaluations, which will be future proof and make 3GPP terrestrial specifications competitive enough for IMT-2030.</w:t>
      </w:r>
    </w:p>
    <w:p w14:paraId="555745DD" w14:textId="77777777" w:rsidR="00876D55" w:rsidRPr="00F06C39" w:rsidRDefault="008A77DE" w:rsidP="00F06C39">
      <w:pPr>
        <w:snapToGrid w:val="0"/>
        <w:spacing w:before="120" w:after="120"/>
        <w:rPr>
          <w:rFonts w:cs="Times New Roman"/>
          <w:sz w:val="20"/>
          <w:szCs w:val="20"/>
        </w:rPr>
      </w:pPr>
      <w:r w:rsidRPr="00F06C39">
        <w:rPr>
          <w:rFonts w:cs="Times New Roman"/>
          <w:b/>
          <w:sz w:val="20"/>
          <w:szCs w:val="20"/>
        </w:rPr>
        <w:t xml:space="preserve">Observation </w:t>
      </w:r>
      <w:r w:rsidRPr="00F06C39">
        <w:rPr>
          <w:rFonts w:cs="Times New Roman"/>
          <w:b/>
          <w:bCs/>
          <w:sz w:val="20"/>
          <w:szCs w:val="20"/>
        </w:rPr>
        <w:fldChar w:fldCharType="begin"/>
      </w:r>
      <w:r w:rsidRPr="00F06C39">
        <w:rPr>
          <w:rFonts w:cs="Times New Roman"/>
          <w:b/>
          <w:sz w:val="20"/>
          <w:szCs w:val="20"/>
        </w:rPr>
        <w:instrText xml:space="preserve"> SEQ Observation \* ARABIC </w:instrText>
      </w:r>
      <w:r w:rsidRPr="00F06C39">
        <w:rPr>
          <w:rFonts w:cs="Times New Roman"/>
          <w:b/>
          <w:bCs/>
          <w:sz w:val="20"/>
          <w:szCs w:val="20"/>
        </w:rPr>
        <w:fldChar w:fldCharType="separate"/>
      </w:r>
      <w:r w:rsidRPr="00F06C39">
        <w:rPr>
          <w:rFonts w:cs="Times New Roman"/>
          <w:b/>
          <w:sz w:val="20"/>
          <w:szCs w:val="20"/>
        </w:rPr>
        <w:t>4</w:t>
      </w:r>
      <w:r w:rsidRPr="00F06C39">
        <w:rPr>
          <w:rFonts w:cs="Times New Roman"/>
          <w:b/>
          <w:bCs/>
          <w:sz w:val="20"/>
          <w:szCs w:val="20"/>
        </w:rPr>
        <w:fldChar w:fldCharType="end"/>
      </w:r>
      <w:r w:rsidRPr="00F06C39">
        <w:rPr>
          <w:rFonts w:cs="Times New Roman"/>
          <w:b/>
          <w:sz w:val="20"/>
          <w:szCs w:val="20"/>
        </w:rPr>
        <w:t xml:space="preserve">: </w:t>
      </w:r>
      <w:r w:rsidRPr="00F06C39">
        <w:rPr>
          <w:rFonts w:cs="Times New Roman"/>
          <w:sz w:val="20"/>
          <w:szCs w:val="20"/>
        </w:rPr>
        <w:t>According to the ITU discussions, no one proposed to remove Configuration A (4 GHz and 8 UE Rx) from the list of configurations, and thus, 8 UE Rx will likely remain a valid configuration under 4 GHz.</w:t>
      </w:r>
    </w:p>
    <w:p w14:paraId="102012A5" w14:textId="77777777" w:rsidR="00876D55" w:rsidRPr="00F06C39" w:rsidRDefault="008A77DE" w:rsidP="00F06C39">
      <w:pPr>
        <w:adjustRightInd w:val="0"/>
        <w:snapToGrid w:val="0"/>
        <w:spacing w:before="120" w:after="120"/>
        <w:rPr>
          <w:rFonts w:cs="Times New Roman"/>
          <w:sz w:val="20"/>
          <w:szCs w:val="20"/>
        </w:rPr>
      </w:pPr>
      <w:r w:rsidRPr="00F06C39">
        <w:rPr>
          <w:rFonts w:cs="Times New Roman"/>
          <w:sz w:val="20"/>
          <w:szCs w:val="20"/>
        </w:rPr>
        <w:fldChar w:fldCharType="begin"/>
      </w:r>
      <w:r w:rsidRPr="00F06C39">
        <w:rPr>
          <w:rFonts w:cs="Times New Roman"/>
          <w:sz w:val="20"/>
          <w:szCs w:val="20"/>
        </w:rPr>
        <w:instrText xml:space="preserve"> REF _Ref32606461 \h  \* MERGEFORMAT </w:instrText>
      </w:r>
      <w:r w:rsidRPr="00F06C39">
        <w:rPr>
          <w:rFonts w:cs="Times New Roman"/>
          <w:sz w:val="20"/>
          <w:szCs w:val="20"/>
        </w:rPr>
      </w:r>
      <w:r w:rsidRPr="00F06C39">
        <w:rPr>
          <w:rFonts w:cs="Times New Roman"/>
          <w:sz w:val="20"/>
          <w:szCs w:val="20"/>
        </w:rPr>
        <w:fldChar w:fldCharType="separate"/>
      </w:r>
      <w:r w:rsidRPr="00F06C39">
        <w:rPr>
          <w:rFonts w:cs="Times New Roman"/>
          <w:b/>
          <w:sz w:val="20"/>
          <w:szCs w:val="20"/>
        </w:rPr>
        <w:t>Proposal 3: Define the UL 5th percentile user data rate as 50 Mbps.</w:t>
      </w:r>
      <w:r w:rsidRPr="00F06C39">
        <w:rPr>
          <w:rFonts w:cs="Times New Roman"/>
          <w:sz w:val="20"/>
          <w:szCs w:val="20"/>
        </w:rPr>
        <w:fldChar w:fldCharType="end"/>
      </w:r>
    </w:p>
    <w:p w14:paraId="3977F1E0" w14:textId="77777777" w:rsidR="00876D55" w:rsidRPr="00F06C39" w:rsidRDefault="008A77DE" w:rsidP="00F06C39">
      <w:pPr>
        <w:adjustRightInd w:val="0"/>
        <w:snapToGrid w:val="0"/>
        <w:spacing w:before="120" w:after="120"/>
        <w:rPr>
          <w:rFonts w:cs="Times New Roman"/>
          <w:bCs/>
          <w:sz w:val="20"/>
          <w:szCs w:val="20"/>
        </w:rPr>
      </w:pPr>
      <w:r w:rsidRPr="00F06C39">
        <w:rPr>
          <w:rFonts w:cs="Times New Roman"/>
          <w:b/>
          <w:sz w:val="20"/>
          <w:szCs w:val="20"/>
        </w:rPr>
        <w:t xml:space="preserve">Observation </w:t>
      </w:r>
      <w:r w:rsidRPr="00F06C39">
        <w:rPr>
          <w:rFonts w:cs="Times New Roman"/>
          <w:b/>
          <w:bCs/>
          <w:sz w:val="20"/>
          <w:szCs w:val="20"/>
        </w:rPr>
        <w:fldChar w:fldCharType="begin"/>
      </w:r>
      <w:r w:rsidRPr="00F06C39">
        <w:rPr>
          <w:rFonts w:cs="Times New Roman"/>
          <w:b/>
          <w:sz w:val="20"/>
          <w:szCs w:val="20"/>
        </w:rPr>
        <w:instrText xml:space="preserve"> SEQ Observation \* ARABIC </w:instrText>
      </w:r>
      <w:r w:rsidRPr="00F06C39">
        <w:rPr>
          <w:rFonts w:cs="Times New Roman"/>
          <w:b/>
          <w:bCs/>
          <w:sz w:val="20"/>
          <w:szCs w:val="20"/>
        </w:rPr>
        <w:fldChar w:fldCharType="separate"/>
      </w:r>
      <w:r w:rsidRPr="00F06C39">
        <w:rPr>
          <w:rFonts w:cs="Times New Roman"/>
          <w:b/>
          <w:sz w:val="20"/>
          <w:szCs w:val="20"/>
        </w:rPr>
        <w:t>5</w:t>
      </w:r>
      <w:r w:rsidRPr="00F06C39">
        <w:rPr>
          <w:rFonts w:cs="Times New Roman"/>
          <w:b/>
          <w:bCs/>
          <w:sz w:val="20"/>
          <w:szCs w:val="20"/>
        </w:rPr>
        <w:fldChar w:fldCharType="end"/>
      </w:r>
      <w:r w:rsidRPr="00F06C39">
        <w:rPr>
          <w:rFonts w:cs="Times New Roman"/>
          <w:b/>
          <w:sz w:val="20"/>
          <w:szCs w:val="20"/>
        </w:rPr>
        <w:t xml:space="preserve">: </w:t>
      </w:r>
      <w:r w:rsidRPr="00F06C39">
        <w:rPr>
          <w:rFonts w:cs="Times New Roman"/>
          <w:sz w:val="20"/>
          <w:szCs w:val="20"/>
        </w:rPr>
        <w:t xml:space="preserve">Multi-modality (mixed traffic model of video, haptic, </w:t>
      </w:r>
      <w:proofErr w:type="spellStart"/>
      <w:r w:rsidRPr="00F06C39">
        <w:rPr>
          <w:rFonts w:cs="Times New Roman"/>
          <w:sz w:val="20"/>
          <w:szCs w:val="20"/>
        </w:rPr>
        <w:t>etc</w:t>
      </w:r>
      <w:proofErr w:type="spellEnd"/>
      <w:r w:rsidRPr="00F06C39">
        <w:rPr>
          <w:rFonts w:cs="Times New Roman"/>
          <w:sz w:val="20"/>
          <w:szCs w:val="20"/>
        </w:rPr>
        <w:t>) is a nature of XR services that distinguishes them from traditional video services.</w:t>
      </w:r>
    </w:p>
    <w:p w14:paraId="4986DF1D" w14:textId="77777777" w:rsidR="00876D55" w:rsidRPr="00F06C39" w:rsidRDefault="008A77DE" w:rsidP="00F06C39">
      <w:pPr>
        <w:snapToGrid w:val="0"/>
        <w:spacing w:before="120" w:after="120"/>
        <w:rPr>
          <w:rFonts w:cs="Times New Roman"/>
          <w:b/>
          <w:sz w:val="20"/>
          <w:szCs w:val="20"/>
        </w:rPr>
      </w:pPr>
      <w:r w:rsidRPr="00F06C39">
        <w:rPr>
          <w:rFonts w:cs="Times New Roman"/>
          <w:b/>
          <w:sz w:val="20"/>
          <w:szCs w:val="20"/>
        </w:rPr>
        <w:t xml:space="preserve">Proposal </w:t>
      </w:r>
      <w:r w:rsidRPr="00F06C39">
        <w:rPr>
          <w:rFonts w:cs="Times New Roman"/>
          <w:b/>
          <w:sz w:val="20"/>
          <w:szCs w:val="20"/>
        </w:rPr>
        <w:fldChar w:fldCharType="begin"/>
      </w:r>
      <w:r w:rsidRPr="00F06C39">
        <w:rPr>
          <w:rFonts w:cs="Times New Roman"/>
          <w:b/>
          <w:sz w:val="20"/>
          <w:szCs w:val="20"/>
        </w:rPr>
        <w:instrText xml:space="preserve"> SEQ Proposal \* ARABIC </w:instrText>
      </w:r>
      <w:r w:rsidRPr="00F06C39">
        <w:rPr>
          <w:rFonts w:cs="Times New Roman"/>
          <w:b/>
          <w:sz w:val="20"/>
          <w:szCs w:val="20"/>
        </w:rPr>
        <w:fldChar w:fldCharType="separate"/>
      </w:r>
      <w:r w:rsidRPr="00F06C39">
        <w:rPr>
          <w:rFonts w:cs="Times New Roman"/>
          <w:b/>
          <w:sz w:val="20"/>
          <w:szCs w:val="20"/>
        </w:rPr>
        <w:t>4</w:t>
      </w:r>
      <w:r w:rsidRPr="00F06C39">
        <w:rPr>
          <w:rFonts w:cs="Times New Roman"/>
          <w:b/>
          <w:sz w:val="20"/>
          <w:szCs w:val="20"/>
        </w:rPr>
        <w:fldChar w:fldCharType="end"/>
      </w:r>
      <w:r w:rsidRPr="00F06C39">
        <w:rPr>
          <w:rFonts w:cs="Times New Roman"/>
          <w:b/>
          <w:sz w:val="20"/>
          <w:szCs w:val="20"/>
        </w:rPr>
        <w:t>: Define a multi-modal traffic model (corresponding to data rate, latency and reliability) for composite requirement as in the table above, which comprises of video and haptic data.</w:t>
      </w:r>
    </w:p>
    <w:p w14:paraId="34943B29" w14:textId="77777777" w:rsidR="00C93F99" w:rsidRDefault="00C93F99" w:rsidP="00C93F99">
      <w:pPr>
        <w:snapToGrid w:val="0"/>
        <w:spacing w:before="120" w:after="120"/>
        <w:rPr>
          <w:rFonts w:cs="Times New Roman"/>
          <w:b/>
          <w:sz w:val="20"/>
          <w:szCs w:val="20"/>
        </w:rPr>
      </w:pPr>
      <w:r w:rsidRPr="00F06C39">
        <w:rPr>
          <w:rFonts w:cs="Times New Roman"/>
          <w:b/>
          <w:sz w:val="20"/>
          <w:szCs w:val="20"/>
        </w:rPr>
        <w:t xml:space="preserve">Proposal </w:t>
      </w:r>
      <w:r w:rsidRPr="00F06C39">
        <w:rPr>
          <w:rFonts w:cs="Times New Roman"/>
          <w:b/>
          <w:sz w:val="20"/>
          <w:szCs w:val="20"/>
        </w:rPr>
        <w:fldChar w:fldCharType="begin"/>
      </w:r>
      <w:r w:rsidRPr="00F06C39">
        <w:rPr>
          <w:rFonts w:cs="Times New Roman"/>
          <w:b/>
          <w:sz w:val="20"/>
          <w:szCs w:val="20"/>
        </w:rPr>
        <w:instrText xml:space="preserve"> SEQ Proposal \* ARABIC </w:instrText>
      </w:r>
      <w:r w:rsidRPr="00F06C39">
        <w:rPr>
          <w:rFonts w:cs="Times New Roman"/>
          <w:b/>
          <w:sz w:val="20"/>
          <w:szCs w:val="20"/>
        </w:rPr>
        <w:fldChar w:fldCharType="separate"/>
      </w:r>
      <w:r w:rsidRPr="00F06C39">
        <w:rPr>
          <w:rFonts w:cs="Times New Roman"/>
          <w:b/>
          <w:sz w:val="20"/>
          <w:szCs w:val="20"/>
        </w:rPr>
        <w:t>5</w:t>
      </w:r>
      <w:r w:rsidRPr="00F06C39">
        <w:rPr>
          <w:rFonts w:cs="Times New Roman"/>
          <w:b/>
          <w:sz w:val="20"/>
          <w:szCs w:val="20"/>
        </w:rPr>
        <w:fldChar w:fldCharType="end"/>
      </w:r>
      <w:r w:rsidRPr="00F06C39">
        <w:rPr>
          <w:rFonts w:cs="Times New Roman"/>
          <w:b/>
          <w:sz w:val="20"/>
          <w:szCs w:val="20"/>
        </w:rPr>
        <w:t xml:space="preserve">: Define detection probability and false alarm </w:t>
      </w:r>
      <w:r>
        <w:rPr>
          <w:rFonts w:cs="Times New Roman"/>
          <w:b/>
          <w:sz w:val="20"/>
          <w:szCs w:val="20"/>
        </w:rPr>
        <w:t>probability</w:t>
      </w:r>
      <w:r w:rsidRPr="00F06C39">
        <w:rPr>
          <w:rFonts w:cs="Times New Roman"/>
          <w:b/>
          <w:sz w:val="20"/>
          <w:szCs w:val="20"/>
        </w:rPr>
        <w:t>, localization accuracy and velocity estimation accuracy as sensing KPIs.</w:t>
      </w:r>
    </w:p>
    <w:p w14:paraId="35AE6A5D" w14:textId="77777777" w:rsidR="00C93F99" w:rsidRPr="00F44ECB" w:rsidRDefault="00C93F99" w:rsidP="00C93F99">
      <w:pPr>
        <w:pStyle w:val="afa"/>
        <w:numPr>
          <w:ilvl w:val="0"/>
          <w:numId w:val="7"/>
        </w:numPr>
        <w:snapToGrid w:val="0"/>
        <w:spacing w:before="120" w:after="120"/>
        <w:rPr>
          <w:rFonts w:cs="Times New Roman"/>
          <w:b/>
          <w:sz w:val="20"/>
          <w:szCs w:val="20"/>
        </w:rPr>
      </w:pPr>
      <w:r w:rsidRPr="00F44ECB">
        <w:rPr>
          <w:rFonts w:cs="Times New Roman"/>
          <w:b/>
          <w:sz w:val="20"/>
          <w:szCs w:val="20"/>
        </w:rPr>
        <w:t>Detection probability: 95%</w:t>
      </w:r>
    </w:p>
    <w:p w14:paraId="7F333CC9" w14:textId="77777777" w:rsidR="00C93F99" w:rsidRPr="00F44ECB" w:rsidRDefault="00C93F99" w:rsidP="00C93F99">
      <w:pPr>
        <w:pStyle w:val="afa"/>
        <w:numPr>
          <w:ilvl w:val="0"/>
          <w:numId w:val="7"/>
        </w:numPr>
        <w:snapToGrid w:val="0"/>
        <w:spacing w:before="120" w:after="120"/>
        <w:rPr>
          <w:rFonts w:cs="Times New Roman"/>
          <w:b/>
          <w:sz w:val="20"/>
          <w:szCs w:val="20"/>
        </w:rPr>
      </w:pPr>
      <w:r w:rsidRPr="00F44ECB">
        <w:rPr>
          <w:rFonts w:cs="Times New Roman"/>
          <w:b/>
          <w:sz w:val="20"/>
          <w:szCs w:val="20"/>
        </w:rPr>
        <w:lastRenderedPageBreak/>
        <w:t>False alarm probability: 5%</w:t>
      </w:r>
    </w:p>
    <w:p w14:paraId="6BAFE467" w14:textId="77777777" w:rsidR="00C93F99" w:rsidRPr="00F44ECB" w:rsidRDefault="00C93F99" w:rsidP="00C93F99">
      <w:pPr>
        <w:pStyle w:val="afa"/>
        <w:numPr>
          <w:ilvl w:val="0"/>
          <w:numId w:val="7"/>
        </w:numPr>
        <w:snapToGrid w:val="0"/>
        <w:spacing w:before="120" w:after="120"/>
        <w:rPr>
          <w:rFonts w:cs="Times New Roman"/>
          <w:b/>
          <w:sz w:val="20"/>
          <w:szCs w:val="20"/>
        </w:rPr>
      </w:pPr>
      <w:r w:rsidRPr="00F44ECB">
        <w:rPr>
          <w:rFonts w:cs="Times New Roman"/>
          <w:b/>
          <w:sz w:val="20"/>
          <w:szCs w:val="20"/>
        </w:rPr>
        <w:t>Horizontal localization accuracy: 2m</w:t>
      </w:r>
    </w:p>
    <w:p w14:paraId="55DA2726" w14:textId="77777777" w:rsidR="00C93F99" w:rsidRPr="00F44ECB" w:rsidRDefault="00C93F99" w:rsidP="00C93F99">
      <w:pPr>
        <w:pStyle w:val="afa"/>
        <w:numPr>
          <w:ilvl w:val="0"/>
          <w:numId w:val="7"/>
        </w:numPr>
        <w:snapToGrid w:val="0"/>
        <w:spacing w:before="120" w:after="120"/>
        <w:rPr>
          <w:rFonts w:cs="Times New Roman"/>
          <w:b/>
          <w:sz w:val="20"/>
          <w:szCs w:val="20"/>
        </w:rPr>
      </w:pPr>
      <w:r w:rsidRPr="00F44ECB">
        <w:rPr>
          <w:rFonts w:cs="Times New Roman"/>
          <w:b/>
          <w:sz w:val="20"/>
          <w:szCs w:val="20"/>
        </w:rPr>
        <w:t>Vertical localization accuracy: 5m</w:t>
      </w:r>
    </w:p>
    <w:p w14:paraId="2D1CADA7" w14:textId="77777777" w:rsidR="00C93F99" w:rsidRPr="00F44ECB" w:rsidRDefault="00C93F99" w:rsidP="00C93F99">
      <w:pPr>
        <w:pStyle w:val="afa"/>
        <w:numPr>
          <w:ilvl w:val="0"/>
          <w:numId w:val="7"/>
        </w:numPr>
        <w:snapToGrid w:val="0"/>
        <w:spacing w:before="120" w:after="120"/>
        <w:rPr>
          <w:rFonts w:cs="Times New Roman"/>
          <w:b/>
          <w:sz w:val="20"/>
          <w:szCs w:val="20"/>
        </w:rPr>
      </w:pPr>
      <w:r w:rsidRPr="00F44ECB">
        <w:rPr>
          <w:rFonts w:cs="Times New Roman"/>
          <w:b/>
          <w:sz w:val="20"/>
          <w:szCs w:val="20"/>
        </w:rPr>
        <w:t>Velocity accuracy: 1m/s</w:t>
      </w:r>
    </w:p>
    <w:p w14:paraId="718831F3" w14:textId="3AE62C72" w:rsidR="00C93F99" w:rsidRPr="00BA2D15" w:rsidRDefault="00C93F99" w:rsidP="00C93F99">
      <w:pPr>
        <w:snapToGrid w:val="0"/>
        <w:spacing w:before="120" w:after="120"/>
        <w:rPr>
          <w:rFonts w:cs="Times New Roman"/>
          <w:b/>
          <w:sz w:val="20"/>
          <w:szCs w:val="20"/>
        </w:rPr>
      </w:pPr>
      <w:r w:rsidRPr="00BA2D15">
        <w:rPr>
          <w:rFonts w:cs="Times New Roman"/>
          <w:b/>
          <w:sz w:val="20"/>
          <w:szCs w:val="20"/>
        </w:rPr>
        <w:t xml:space="preserve">Proposal </w:t>
      </w:r>
      <w:r w:rsidRPr="00BA2D15">
        <w:rPr>
          <w:rFonts w:cs="Times New Roman"/>
          <w:b/>
          <w:sz w:val="20"/>
          <w:szCs w:val="20"/>
        </w:rPr>
        <w:fldChar w:fldCharType="begin"/>
      </w:r>
      <w:r w:rsidRPr="00F44ECB">
        <w:rPr>
          <w:rFonts w:cs="Times New Roman"/>
          <w:b/>
          <w:sz w:val="20"/>
          <w:szCs w:val="20"/>
        </w:rPr>
        <w:instrText xml:space="preserve"> SEQ Proposal \* ARABIC </w:instrText>
      </w:r>
      <w:r w:rsidRPr="00BA2D15">
        <w:rPr>
          <w:rFonts w:cs="Times New Roman"/>
          <w:b/>
          <w:sz w:val="20"/>
          <w:szCs w:val="20"/>
        </w:rPr>
        <w:fldChar w:fldCharType="separate"/>
      </w:r>
      <w:r w:rsidRPr="00BA2D15">
        <w:rPr>
          <w:rFonts w:cs="Times New Roman"/>
          <w:b/>
          <w:sz w:val="20"/>
          <w:szCs w:val="20"/>
        </w:rPr>
        <w:t>6</w:t>
      </w:r>
      <w:r w:rsidRPr="00BA2D15">
        <w:rPr>
          <w:rFonts w:cs="Times New Roman"/>
          <w:b/>
          <w:sz w:val="20"/>
          <w:szCs w:val="20"/>
        </w:rPr>
        <w:fldChar w:fldCharType="end"/>
      </w:r>
      <w:r w:rsidRPr="00BA2D15">
        <w:rPr>
          <w:rFonts w:cs="Times New Roman"/>
          <w:b/>
          <w:sz w:val="20"/>
          <w:szCs w:val="20"/>
        </w:rPr>
        <w:t>: Define both horizontal and vertical positioning accuracy.</w:t>
      </w:r>
    </w:p>
    <w:p w14:paraId="10F11AA3" w14:textId="77777777" w:rsidR="00C93F99" w:rsidRPr="00F44ECB" w:rsidRDefault="00C93F99" w:rsidP="00C93F99">
      <w:pPr>
        <w:pStyle w:val="afa"/>
        <w:numPr>
          <w:ilvl w:val="1"/>
          <w:numId w:val="9"/>
        </w:numPr>
        <w:snapToGrid w:val="0"/>
        <w:spacing w:before="120" w:after="120"/>
        <w:rPr>
          <w:rFonts w:cs="Times New Roman"/>
          <w:b/>
          <w:sz w:val="20"/>
          <w:szCs w:val="20"/>
        </w:rPr>
      </w:pPr>
      <w:r>
        <w:rPr>
          <w:rFonts w:cs="Times New Roman"/>
          <w:b/>
          <w:sz w:val="20"/>
          <w:szCs w:val="20"/>
        </w:rPr>
        <w:t xml:space="preserve">Horizontal positioning accuracy: 20cm-1m (indoor), 3m (outdoor) </w:t>
      </w:r>
      <w:r w:rsidRPr="00BA2D15">
        <w:rPr>
          <w:rFonts w:cs="Times New Roman"/>
          <w:b/>
          <w:sz w:val="20"/>
          <w:szCs w:val="20"/>
        </w:rPr>
        <w:t>for 90% of UEs</w:t>
      </w:r>
    </w:p>
    <w:p w14:paraId="2E619B1B" w14:textId="1C8981E1" w:rsidR="00C93F99" w:rsidRDefault="00C93F99" w:rsidP="00303EAB">
      <w:pPr>
        <w:pStyle w:val="afa"/>
        <w:numPr>
          <w:ilvl w:val="1"/>
          <w:numId w:val="9"/>
        </w:numPr>
        <w:snapToGrid w:val="0"/>
        <w:spacing w:before="120" w:after="120"/>
        <w:rPr>
          <w:rFonts w:cs="Times New Roman"/>
          <w:b/>
          <w:sz w:val="20"/>
          <w:szCs w:val="20"/>
        </w:rPr>
      </w:pPr>
      <w:r>
        <w:rPr>
          <w:rFonts w:cs="Times New Roman"/>
          <w:b/>
          <w:sz w:val="20"/>
          <w:szCs w:val="20"/>
        </w:rPr>
        <w:t xml:space="preserve">Vertical positioning accuracy: 5m </w:t>
      </w:r>
      <w:r w:rsidRPr="00BA2D15">
        <w:rPr>
          <w:rFonts w:cs="Times New Roman"/>
          <w:b/>
          <w:sz w:val="20"/>
          <w:szCs w:val="20"/>
        </w:rPr>
        <w:t>for 90% of UEs</w:t>
      </w:r>
    </w:p>
    <w:p w14:paraId="08C2B98D" w14:textId="77777777" w:rsidR="001F2E2C" w:rsidRPr="00875FAF" w:rsidRDefault="001F2E2C" w:rsidP="00875FAF">
      <w:pPr>
        <w:snapToGrid w:val="0"/>
        <w:spacing w:before="120" w:after="120"/>
        <w:rPr>
          <w:rFonts w:cs="Times New Roman"/>
          <w:b/>
          <w:sz w:val="20"/>
          <w:szCs w:val="20"/>
        </w:rPr>
      </w:pPr>
      <w:r w:rsidRPr="00875FAF">
        <w:rPr>
          <w:rFonts w:cs="Times New Roman"/>
          <w:b/>
          <w:sz w:val="20"/>
          <w:szCs w:val="20"/>
        </w:rPr>
        <w:t xml:space="preserve">Proposal 7: The mobility interruption time of 0 </w:t>
      </w:r>
      <w:proofErr w:type="spellStart"/>
      <w:r w:rsidRPr="00875FAF">
        <w:rPr>
          <w:rFonts w:cs="Times New Roman"/>
          <w:b/>
          <w:sz w:val="20"/>
          <w:szCs w:val="20"/>
        </w:rPr>
        <w:t>ms</w:t>
      </w:r>
      <w:proofErr w:type="spellEnd"/>
      <w:r w:rsidRPr="00875FAF">
        <w:rPr>
          <w:rFonts w:cs="Times New Roman"/>
          <w:b/>
          <w:sz w:val="20"/>
          <w:szCs w:val="20"/>
        </w:rPr>
        <w:t xml:space="preserve"> in 6G should be targeted in typical scenarios, aiming for a unified mobility framework for network-controlled mobility. </w:t>
      </w:r>
    </w:p>
    <w:p w14:paraId="103318C0" w14:textId="77777777" w:rsidR="00876D55" w:rsidRDefault="008A77DE" w:rsidP="00F06C39">
      <w:pPr>
        <w:pStyle w:val="1"/>
        <w:numPr>
          <w:ilvl w:val="0"/>
          <w:numId w:val="2"/>
        </w:numPr>
        <w:snapToGrid w:val="0"/>
        <w:spacing w:line="276" w:lineRule="auto"/>
        <w:rPr>
          <w:rFonts w:cs="Arial"/>
          <w:szCs w:val="22"/>
        </w:rPr>
      </w:pPr>
      <w:r>
        <w:rPr>
          <w:rFonts w:cs="Arial"/>
          <w:szCs w:val="22"/>
        </w:rPr>
        <w:t>References</w:t>
      </w:r>
    </w:p>
    <w:p w14:paraId="13493FFD" w14:textId="77777777" w:rsidR="00876D55" w:rsidRDefault="008A77DE">
      <w:pPr>
        <w:numPr>
          <w:ilvl w:val="0"/>
          <w:numId w:val="5"/>
        </w:numPr>
        <w:snapToGrid w:val="0"/>
        <w:spacing w:line="276" w:lineRule="auto"/>
        <w:rPr>
          <w:rFonts w:cs="Times New Roman"/>
          <w:sz w:val="20"/>
          <w:szCs w:val="20"/>
        </w:rPr>
      </w:pPr>
      <w:r>
        <w:rPr>
          <w:rFonts w:cs="Times New Roman"/>
          <w:sz w:val="20"/>
          <w:szCs w:val="20"/>
        </w:rPr>
        <w:t>RP-240823 Additional Considerations for 6G Timeline Source: TSG Chairs</w:t>
      </w:r>
    </w:p>
    <w:p w14:paraId="7C289643" w14:textId="77777777" w:rsidR="00876D55" w:rsidRDefault="008A77DE">
      <w:pPr>
        <w:numPr>
          <w:ilvl w:val="0"/>
          <w:numId w:val="5"/>
        </w:numPr>
        <w:snapToGrid w:val="0"/>
        <w:spacing w:line="276" w:lineRule="auto"/>
        <w:rPr>
          <w:rFonts w:cs="Times New Roman"/>
          <w:sz w:val="20"/>
          <w:szCs w:val="20"/>
        </w:rPr>
      </w:pPr>
      <w:r>
        <w:rPr>
          <w:rFonts w:cs="Times New Roman"/>
          <w:sz w:val="20"/>
          <w:szCs w:val="20"/>
        </w:rPr>
        <w:t>RP-</w:t>
      </w:r>
      <w:r>
        <w:rPr>
          <w:rFonts w:cs="Times New Roman" w:hint="eastAsia"/>
          <w:sz w:val="20"/>
          <w:szCs w:val="20"/>
        </w:rPr>
        <w:t>250810</w:t>
      </w:r>
      <w:r>
        <w:rPr>
          <w:rFonts w:cs="Times New Roman"/>
          <w:sz w:val="20"/>
          <w:szCs w:val="20"/>
        </w:rPr>
        <w:t xml:space="preserve"> “Revised SID: Study on 6G Scenarios and requirements”, CMCC, Verizon, NTT DOCOMO, INC., Deutsche Telekom</w:t>
      </w:r>
    </w:p>
    <w:p w14:paraId="3C1981E0" w14:textId="77777777" w:rsidR="00876D55" w:rsidRDefault="008A77DE">
      <w:pPr>
        <w:numPr>
          <w:ilvl w:val="0"/>
          <w:numId w:val="5"/>
        </w:numPr>
        <w:snapToGrid w:val="0"/>
        <w:spacing w:line="276" w:lineRule="auto"/>
        <w:rPr>
          <w:rFonts w:cs="Times New Roman"/>
          <w:sz w:val="20"/>
          <w:szCs w:val="20"/>
        </w:rPr>
      </w:pPr>
      <w:r>
        <w:rPr>
          <w:rFonts w:cs="Times New Roman"/>
          <w:sz w:val="20"/>
          <w:szCs w:val="20"/>
        </w:rPr>
        <w:t>RP-243202</w:t>
      </w:r>
      <w:r>
        <w:rPr>
          <w:rFonts w:cs="Times New Roman"/>
          <w:sz w:val="20"/>
          <w:szCs w:val="20"/>
        </w:rPr>
        <w:tab/>
        <w:t>Liaison Statement to External Organizations Minimum requirements related to technical performance for IMT-2030 radio interface(s), source ITU-R WP5D, 3GPP TSG#106, December 2024</w:t>
      </w:r>
    </w:p>
    <w:p w14:paraId="399839D4" w14:textId="77777777" w:rsidR="00876D55" w:rsidRDefault="008A77DE">
      <w:pPr>
        <w:numPr>
          <w:ilvl w:val="0"/>
          <w:numId w:val="5"/>
        </w:numPr>
        <w:snapToGrid w:val="0"/>
        <w:spacing w:line="276" w:lineRule="auto"/>
        <w:rPr>
          <w:rFonts w:cs="Times New Roman"/>
          <w:sz w:val="20"/>
          <w:szCs w:val="20"/>
        </w:rPr>
      </w:pPr>
      <w:r>
        <w:rPr>
          <w:rFonts w:cs="Times New Roman" w:hint="eastAsia"/>
          <w:sz w:val="20"/>
          <w:szCs w:val="20"/>
        </w:rPr>
        <w:t>I</w:t>
      </w:r>
      <w:r>
        <w:rPr>
          <w:rFonts w:cs="Times New Roman"/>
          <w:sz w:val="20"/>
          <w:szCs w:val="20"/>
        </w:rPr>
        <w:t>TU-R WP5D 563 Report on the 48th meeting of Working Party 5D (Geneva, 4-13 February 2025) Chair, WP 5D</w:t>
      </w:r>
    </w:p>
    <w:p w14:paraId="1FEF507C" w14:textId="77777777" w:rsidR="00876D55" w:rsidRDefault="008A77DE">
      <w:pPr>
        <w:numPr>
          <w:ilvl w:val="0"/>
          <w:numId w:val="5"/>
        </w:numPr>
        <w:snapToGrid w:val="0"/>
        <w:spacing w:line="276" w:lineRule="auto"/>
        <w:rPr>
          <w:rFonts w:cs="Times New Roman"/>
          <w:sz w:val="20"/>
          <w:szCs w:val="20"/>
        </w:rPr>
      </w:pPr>
      <w:r>
        <w:rPr>
          <w:rFonts w:cs="Times New Roman" w:hint="eastAsia"/>
          <w:sz w:val="20"/>
          <w:szCs w:val="20"/>
        </w:rPr>
        <w:t xml:space="preserve">3GPP RAN, TR 37.910, </w:t>
      </w:r>
      <w:r>
        <w:rPr>
          <w:rFonts w:cs="Times New Roman"/>
          <w:sz w:val="20"/>
          <w:szCs w:val="20"/>
        </w:rPr>
        <w:t xml:space="preserve">“Study on </w:t>
      </w:r>
      <w:proofErr w:type="spellStart"/>
      <w:r>
        <w:rPr>
          <w:rFonts w:cs="Times New Roman"/>
          <w:sz w:val="20"/>
          <w:szCs w:val="20"/>
        </w:rPr>
        <w:t>self evaluation</w:t>
      </w:r>
      <w:proofErr w:type="spellEnd"/>
      <w:r>
        <w:rPr>
          <w:rFonts w:cs="Times New Roman"/>
          <w:sz w:val="20"/>
          <w:szCs w:val="20"/>
        </w:rPr>
        <w:t xml:space="preserve"> towards IMT-2020 submission”</w:t>
      </w:r>
    </w:p>
    <w:p w14:paraId="3AEF700D" w14:textId="77777777" w:rsidR="00876D55" w:rsidRDefault="008A77DE">
      <w:pPr>
        <w:numPr>
          <w:ilvl w:val="0"/>
          <w:numId w:val="5"/>
        </w:numPr>
        <w:snapToGrid w:val="0"/>
        <w:spacing w:line="276" w:lineRule="auto"/>
        <w:rPr>
          <w:rFonts w:cs="Times New Roman"/>
          <w:sz w:val="20"/>
          <w:szCs w:val="20"/>
        </w:rPr>
      </w:pPr>
      <w:bookmarkStart w:id="14" w:name="_Ref195879845"/>
      <w:r>
        <w:rPr>
          <w:rFonts w:cs="Times New Roman" w:hint="eastAsia"/>
          <w:sz w:val="20"/>
          <w:szCs w:val="20"/>
        </w:rPr>
        <w:t xml:space="preserve">RP-250819 </w:t>
      </w:r>
      <w:r>
        <w:rPr>
          <w:rFonts w:cs="Times New Roman"/>
          <w:sz w:val="20"/>
          <w:szCs w:val="20"/>
        </w:rPr>
        <w:t>Moderator's summary for IMT-2030 TPRs</w:t>
      </w:r>
      <w:r>
        <w:rPr>
          <w:rFonts w:cs="Times New Roman" w:hint="eastAsia"/>
          <w:sz w:val="20"/>
          <w:szCs w:val="20"/>
        </w:rPr>
        <w:t xml:space="preserve">, </w:t>
      </w:r>
      <w:r>
        <w:rPr>
          <w:rFonts w:cs="Times New Roman"/>
          <w:sz w:val="20"/>
          <w:szCs w:val="20"/>
        </w:rPr>
        <w:t>Moderator (CMCC)</w:t>
      </w:r>
      <w:bookmarkEnd w:id="14"/>
    </w:p>
    <w:p w14:paraId="0EAA75BF" w14:textId="77777777" w:rsidR="00876D55" w:rsidRDefault="008A77DE">
      <w:pPr>
        <w:numPr>
          <w:ilvl w:val="0"/>
          <w:numId w:val="5"/>
        </w:numPr>
        <w:snapToGrid w:val="0"/>
        <w:spacing w:line="276" w:lineRule="auto"/>
        <w:rPr>
          <w:rFonts w:cs="Times New Roman"/>
          <w:sz w:val="20"/>
          <w:szCs w:val="20"/>
        </w:rPr>
      </w:pPr>
      <w:bookmarkStart w:id="15" w:name="_Ref195880377"/>
      <w:r>
        <w:rPr>
          <w:rFonts w:cs="Times New Roman" w:hint="eastAsia"/>
          <w:sz w:val="20"/>
          <w:szCs w:val="20"/>
        </w:rPr>
        <w:t xml:space="preserve">Report ITU-R M.2412-0 </w:t>
      </w:r>
      <w:r>
        <w:rPr>
          <w:rFonts w:cs="Times New Roman"/>
          <w:sz w:val="20"/>
          <w:szCs w:val="20"/>
        </w:rPr>
        <w:t>“Guidelines for evaluation of radio interface technologies for IMT-2020”</w:t>
      </w:r>
      <w:bookmarkEnd w:id="15"/>
    </w:p>
    <w:p w14:paraId="3C73DDC1" w14:textId="77777777" w:rsidR="00876D55" w:rsidRDefault="008A77DE">
      <w:pPr>
        <w:numPr>
          <w:ilvl w:val="0"/>
          <w:numId w:val="5"/>
        </w:numPr>
        <w:snapToGrid w:val="0"/>
        <w:spacing w:line="276" w:lineRule="auto"/>
        <w:rPr>
          <w:rFonts w:cs="Times New Roman"/>
          <w:color w:val="0D0D0D"/>
          <w:sz w:val="20"/>
          <w:szCs w:val="20"/>
        </w:rPr>
      </w:pPr>
      <w:bookmarkStart w:id="16" w:name="_Ref196123901"/>
      <w:r>
        <w:rPr>
          <w:rFonts w:cs="Times New Roman" w:hint="eastAsia"/>
          <w:sz w:val="20"/>
          <w:szCs w:val="20"/>
        </w:rPr>
        <w:t xml:space="preserve">3GPP SA1, TR 22.870, </w:t>
      </w:r>
      <w:r>
        <w:rPr>
          <w:rFonts w:cs="Times New Roman"/>
          <w:sz w:val="20"/>
          <w:szCs w:val="20"/>
        </w:rPr>
        <w:t>“Study on 6G Use Cases and Service Requirements”</w:t>
      </w:r>
      <w:bookmarkEnd w:id="16"/>
    </w:p>
    <w:p w14:paraId="440F05E3" w14:textId="77777777" w:rsidR="00876D55" w:rsidRDefault="008A77DE">
      <w:pPr>
        <w:numPr>
          <w:ilvl w:val="0"/>
          <w:numId w:val="5"/>
        </w:numPr>
        <w:snapToGrid w:val="0"/>
        <w:spacing w:line="276" w:lineRule="auto"/>
        <w:rPr>
          <w:rFonts w:cs="Times New Roman"/>
          <w:color w:val="0D0D0D"/>
          <w:sz w:val="20"/>
          <w:szCs w:val="20"/>
        </w:rPr>
      </w:pPr>
      <w:bookmarkStart w:id="17" w:name="_Ref204161495"/>
      <w:r>
        <w:rPr>
          <w:rFonts w:cs="Times New Roman" w:hint="eastAsia"/>
          <w:sz w:val="20"/>
          <w:szCs w:val="20"/>
        </w:rPr>
        <w:t xml:space="preserve">RP-251825 </w:t>
      </w:r>
      <w:r>
        <w:rPr>
          <w:rFonts w:cs="Times New Roman"/>
          <w:sz w:val="20"/>
          <w:szCs w:val="20"/>
        </w:rPr>
        <w:t xml:space="preserve">Reply LS to ITU-R WP5D =RP-243202 on Minimum requirements related to technical performance for </w:t>
      </w:r>
      <w:bookmarkStart w:id="18" w:name="OLE_LINK2"/>
      <w:r>
        <w:rPr>
          <w:rFonts w:cs="Times New Roman"/>
          <w:sz w:val="20"/>
          <w:szCs w:val="20"/>
        </w:rPr>
        <w:t>IMT-2030 radio interface</w:t>
      </w:r>
      <w:bookmarkEnd w:id="18"/>
      <w:r>
        <w:rPr>
          <w:rFonts w:cs="Times New Roman"/>
          <w:sz w:val="20"/>
          <w:szCs w:val="20"/>
        </w:rPr>
        <w:t>(s)</w:t>
      </w:r>
      <w:r>
        <w:rPr>
          <w:rFonts w:cs="Times New Roman" w:hint="eastAsia"/>
          <w:sz w:val="20"/>
          <w:szCs w:val="20"/>
        </w:rPr>
        <w:t>, RAN</w:t>
      </w:r>
      <w:bookmarkEnd w:id="17"/>
    </w:p>
    <w:p w14:paraId="0F61A7F7" w14:textId="77777777" w:rsidR="00876D55" w:rsidRDefault="008A77DE">
      <w:pPr>
        <w:numPr>
          <w:ilvl w:val="0"/>
          <w:numId w:val="5"/>
        </w:numPr>
        <w:snapToGrid w:val="0"/>
        <w:spacing w:line="276" w:lineRule="auto"/>
        <w:rPr>
          <w:rFonts w:cs="Times New Roman"/>
          <w:color w:val="0D0D0D"/>
          <w:sz w:val="20"/>
          <w:szCs w:val="20"/>
        </w:rPr>
      </w:pPr>
      <w:r>
        <w:rPr>
          <w:rFonts w:cs="Times New Roman" w:hint="eastAsia"/>
          <w:sz w:val="20"/>
          <w:szCs w:val="20"/>
        </w:rPr>
        <w:t>I</w:t>
      </w:r>
      <w:r>
        <w:rPr>
          <w:rFonts w:cs="Times New Roman"/>
          <w:sz w:val="20"/>
          <w:szCs w:val="20"/>
        </w:rPr>
        <w:t xml:space="preserve">TU-R Document 5D/TEMP/345-R1: </w:t>
      </w:r>
      <w:r>
        <w:rPr>
          <w:rFonts w:cs="Times New Roman"/>
          <w:color w:val="0D0D0D"/>
          <w:sz w:val="20"/>
          <w:szCs w:val="20"/>
        </w:rPr>
        <w:t>Working Document Towards A Preliminary Draft New Report ITU-R M.[IMT-2030.TECH PERF REQ]</w:t>
      </w:r>
    </w:p>
    <w:p w14:paraId="307561AF" w14:textId="77777777" w:rsidR="00876D55" w:rsidRDefault="008A77DE" w:rsidP="00F06C39">
      <w:pPr>
        <w:pStyle w:val="1"/>
        <w:numPr>
          <w:ilvl w:val="0"/>
          <w:numId w:val="2"/>
        </w:numPr>
        <w:snapToGrid w:val="0"/>
        <w:spacing w:line="276" w:lineRule="auto"/>
        <w:rPr>
          <w:rFonts w:cs="Arial"/>
          <w:szCs w:val="22"/>
          <w:lang w:eastAsia="zh-CN"/>
        </w:rPr>
      </w:pPr>
      <w:r>
        <w:rPr>
          <w:rFonts w:cs="Arial"/>
          <w:szCs w:val="22"/>
        </w:rPr>
        <w:t>Appendix: preliminary simulation</w:t>
      </w:r>
      <w:r>
        <w:rPr>
          <w:rFonts w:cs="Arial" w:hint="eastAsia"/>
          <w:szCs w:val="22"/>
          <w:lang w:eastAsia="zh-CN"/>
        </w:rPr>
        <w:t xml:space="preserve"> results</w:t>
      </w:r>
    </w:p>
    <w:p w14:paraId="22313DD5" w14:textId="77777777" w:rsidR="00876D55" w:rsidRPr="00F06C39" w:rsidRDefault="008A77DE">
      <w:pPr>
        <w:snapToGrid w:val="0"/>
        <w:outlineLvl w:val="1"/>
        <w:rPr>
          <w:rFonts w:cs="Times New Roman"/>
          <w:b/>
          <w:sz w:val="20"/>
          <w:szCs w:val="20"/>
          <w:u w:val="single"/>
        </w:rPr>
      </w:pPr>
      <w:r w:rsidRPr="00F06C39">
        <w:rPr>
          <w:rFonts w:cs="Times New Roman"/>
          <w:b/>
          <w:sz w:val="20"/>
          <w:szCs w:val="20"/>
          <w:u w:val="single"/>
        </w:rPr>
        <w:t>Composite requirement</w:t>
      </w:r>
    </w:p>
    <w:p w14:paraId="561DE440" w14:textId="77777777" w:rsidR="00876D55" w:rsidRPr="00F06C39" w:rsidRDefault="008A77DE">
      <w:pPr>
        <w:snapToGrid w:val="0"/>
        <w:spacing w:after="120"/>
        <w:rPr>
          <w:rFonts w:cs="Times New Roman"/>
          <w:bCs/>
          <w:sz w:val="20"/>
          <w:szCs w:val="20"/>
        </w:rPr>
      </w:pPr>
      <w:r w:rsidRPr="00F06C39">
        <w:rPr>
          <w:rFonts w:cs="Times New Roman"/>
          <w:sz w:val="20"/>
          <w:szCs w:val="20"/>
        </w:rPr>
        <w:t>For the value of composite requirement for immersive communication, we provide some candidate values shown as follows:</w:t>
      </w:r>
    </w:p>
    <w:p w14:paraId="53CA5D37" w14:textId="77777777" w:rsidR="00876D55" w:rsidRPr="00F06C39" w:rsidRDefault="008A77DE">
      <w:pPr>
        <w:pStyle w:val="afa"/>
        <w:numPr>
          <w:ilvl w:val="0"/>
          <w:numId w:val="6"/>
        </w:numPr>
        <w:snapToGrid w:val="0"/>
        <w:spacing w:after="120"/>
        <w:contextualSpacing w:val="0"/>
        <w:rPr>
          <w:rFonts w:cs="Times New Roman"/>
          <w:bCs/>
          <w:sz w:val="20"/>
          <w:szCs w:val="20"/>
        </w:rPr>
      </w:pPr>
      <w:r w:rsidRPr="00F06C39">
        <w:rPr>
          <w:rFonts w:cs="Times New Roman"/>
          <w:sz w:val="20"/>
          <w:szCs w:val="20"/>
        </w:rPr>
        <w:t>For test environment of Dense Urban-IC, the DL capacity can be 70Gbits/s/km</w:t>
      </w:r>
      <w:r w:rsidRPr="00F06C39">
        <w:rPr>
          <w:rFonts w:cs="Times New Roman"/>
          <w:sz w:val="20"/>
          <w:szCs w:val="20"/>
          <w:vertAlign w:val="superscript"/>
        </w:rPr>
        <w:t>2</w:t>
      </w:r>
      <w:r w:rsidRPr="00F06C39">
        <w:rPr>
          <w:rFonts w:cs="Times New Roman"/>
          <w:sz w:val="20"/>
          <w:szCs w:val="20"/>
        </w:rPr>
        <w:t>.</w:t>
      </w:r>
    </w:p>
    <w:p w14:paraId="1566EB63" w14:textId="77777777" w:rsidR="00876D55" w:rsidRPr="00F06C39" w:rsidRDefault="008A77DE">
      <w:pPr>
        <w:pStyle w:val="afa"/>
        <w:numPr>
          <w:ilvl w:val="0"/>
          <w:numId w:val="6"/>
        </w:numPr>
        <w:snapToGrid w:val="0"/>
        <w:spacing w:after="120"/>
        <w:contextualSpacing w:val="0"/>
        <w:rPr>
          <w:rFonts w:cs="Times New Roman"/>
          <w:bCs/>
          <w:sz w:val="20"/>
          <w:szCs w:val="20"/>
        </w:rPr>
      </w:pPr>
      <w:r w:rsidRPr="00F06C39">
        <w:rPr>
          <w:rFonts w:cs="Times New Roman"/>
          <w:sz w:val="20"/>
          <w:szCs w:val="20"/>
        </w:rPr>
        <w:t>For test environment of Urban Macro-IC, the DL capacity is 10G bits/s/km</w:t>
      </w:r>
      <w:r w:rsidRPr="00F06C39">
        <w:rPr>
          <w:rFonts w:cs="Times New Roman"/>
          <w:sz w:val="20"/>
          <w:szCs w:val="20"/>
          <w:vertAlign w:val="superscript"/>
        </w:rPr>
        <w:t>2</w:t>
      </w:r>
    </w:p>
    <w:p w14:paraId="2860F7BA" w14:textId="77777777" w:rsidR="00876D55" w:rsidRPr="00F06C39" w:rsidRDefault="008A77DE">
      <w:pPr>
        <w:pStyle w:val="afa"/>
        <w:numPr>
          <w:ilvl w:val="1"/>
          <w:numId w:val="6"/>
        </w:numPr>
        <w:snapToGrid w:val="0"/>
        <w:spacing w:after="120"/>
        <w:contextualSpacing w:val="0"/>
        <w:rPr>
          <w:rFonts w:cs="Times New Roman"/>
          <w:bCs/>
          <w:sz w:val="20"/>
          <w:szCs w:val="20"/>
        </w:rPr>
      </w:pPr>
      <w:r w:rsidRPr="00F06C39">
        <w:rPr>
          <w:rFonts w:cs="Times New Roman"/>
          <w:sz w:val="20"/>
          <w:szCs w:val="20"/>
        </w:rPr>
        <w:t>Traffic model: Video: 45Mbps@60FPS, reliability=99%, PDB = 10ms; Haptic: fixed 100 Byte/s, reliability = 99.9%, PDB=5ms, pareto distribution arrival</w:t>
      </w:r>
    </w:p>
    <w:p w14:paraId="2B0C6E57" w14:textId="77777777" w:rsidR="00876D55" w:rsidRPr="00F06C39" w:rsidRDefault="008A77DE">
      <w:pPr>
        <w:snapToGrid w:val="0"/>
        <w:rPr>
          <w:rFonts w:cs="Times New Roman"/>
          <w:sz w:val="20"/>
          <w:szCs w:val="20"/>
        </w:rPr>
      </w:pPr>
      <w:r w:rsidRPr="00F06C39">
        <w:rPr>
          <w:rFonts w:cs="Times New Roman"/>
          <w:sz w:val="20"/>
          <w:szCs w:val="20"/>
        </w:rPr>
        <w:t xml:space="preserve">For DL composite requirement in test environment </w:t>
      </w:r>
      <w:proofErr w:type="spellStart"/>
      <w:r w:rsidRPr="00F06C39">
        <w:rPr>
          <w:rFonts w:cs="Times New Roman"/>
          <w:sz w:val="20"/>
          <w:szCs w:val="20"/>
        </w:rPr>
        <w:t>UMa</w:t>
      </w:r>
      <w:proofErr w:type="spellEnd"/>
      <w:r w:rsidRPr="00F06C39">
        <w:rPr>
          <w:rFonts w:cs="Times New Roman"/>
          <w:sz w:val="20"/>
          <w:szCs w:val="20"/>
        </w:rPr>
        <w:t>-IC, we provide the following statistics of transmitted XR packet sizes and service time for each XR packet, respectively.</w:t>
      </w:r>
    </w:p>
    <w:tbl>
      <w:tblPr>
        <w:tblStyle w:val="af5"/>
        <w:tblW w:w="0" w:type="auto"/>
        <w:tblLook w:val="04A0" w:firstRow="1" w:lastRow="0" w:firstColumn="1" w:lastColumn="0" w:noHBand="0" w:noVBand="1"/>
      </w:tblPr>
      <w:tblGrid>
        <w:gridCol w:w="4814"/>
        <w:gridCol w:w="4815"/>
      </w:tblGrid>
      <w:tr w:rsidR="00876D55" w14:paraId="3BC3293A" w14:textId="77777777">
        <w:tc>
          <w:tcPr>
            <w:tcW w:w="4927" w:type="dxa"/>
            <w:tcBorders>
              <w:top w:val="single" w:sz="4" w:space="0" w:color="auto"/>
              <w:left w:val="single" w:sz="4" w:space="0" w:color="auto"/>
              <w:bottom w:val="single" w:sz="4" w:space="0" w:color="auto"/>
              <w:right w:val="single" w:sz="4" w:space="0" w:color="auto"/>
            </w:tcBorders>
          </w:tcPr>
          <w:p w14:paraId="16F1DC4B" w14:textId="77777777" w:rsidR="00876D55" w:rsidRPr="00F06C39" w:rsidRDefault="008A77DE">
            <w:pPr>
              <w:snapToGrid w:val="0"/>
              <w:rPr>
                <w:rFonts w:cs="Times New Roman"/>
                <w:sz w:val="20"/>
                <w:szCs w:val="20"/>
              </w:rPr>
            </w:pPr>
            <w:r w:rsidRPr="00F06C39">
              <w:rPr>
                <w:rFonts w:cs="Times New Roman"/>
                <w:sz w:val="20"/>
                <w:szCs w:val="20"/>
              </w:rPr>
              <w:lastRenderedPageBreak/>
              <w:t xml:space="preserve"> </w:t>
            </w:r>
            <w:r w:rsidRPr="00F06C39">
              <w:rPr>
                <w:rFonts w:cs="Times New Roman"/>
                <w:noProof/>
                <w:sz w:val="20"/>
                <w:szCs w:val="20"/>
              </w:rPr>
              <w:drawing>
                <wp:inline distT="0" distB="0" distL="0" distR="0" wp14:anchorId="3C207189" wp14:editId="43B05A9A">
                  <wp:extent cx="2879725" cy="2159635"/>
                  <wp:effectExtent l="0" t="0" r="0" b="1206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879725" cy="2159635"/>
                          </a:xfrm>
                          <a:prstGeom prst="rect">
                            <a:avLst/>
                          </a:prstGeom>
                          <a:noFill/>
                          <a:ln>
                            <a:noFill/>
                          </a:ln>
                        </pic:spPr>
                      </pic:pic>
                    </a:graphicData>
                  </a:graphic>
                </wp:inline>
              </w:drawing>
            </w:r>
          </w:p>
        </w:tc>
        <w:tc>
          <w:tcPr>
            <w:tcW w:w="4928" w:type="dxa"/>
            <w:tcBorders>
              <w:top w:val="single" w:sz="4" w:space="0" w:color="auto"/>
              <w:left w:val="single" w:sz="4" w:space="0" w:color="auto"/>
              <w:bottom w:val="single" w:sz="4" w:space="0" w:color="auto"/>
              <w:right w:val="single" w:sz="4" w:space="0" w:color="auto"/>
            </w:tcBorders>
          </w:tcPr>
          <w:p w14:paraId="579CF72C" w14:textId="77777777" w:rsidR="00876D55" w:rsidRPr="00F06C39" w:rsidRDefault="008A77DE">
            <w:pPr>
              <w:snapToGrid w:val="0"/>
              <w:rPr>
                <w:rFonts w:cs="Times New Roman"/>
                <w:sz w:val="20"/>
                <w:szCs w:val="20"/>
              </w:rPr>
            </w:pPr>
            <w:r w:rsidRPr="00F06C39">
              <w:rPr>
                <w:rFonts w:cs="Times New Roman"/>
                <w:noProof/>
                <w:sz w:val="20"/>
                <w:szCs w:val="20"/>
              </w:rPr>
              <w:drawing>
                <wp:inline distT="0" distB="0" distL="0" distR="0" wp14:anchorId="5F90AADF" wp14:editId="4BF8208D">
                  <wp:extent cx="2880995" cy="2160270"/>
                  <wp:effectExtent l="0" t="0" r="0" b="1143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cstate="print"/>
                          <a:stretch>
                            <a:fillRect/>
                          </a:stretch>
                        </pic:blipFill>
                        <pic:spPr>
                          <a:xfrm>
                            <a:off x="0" y="0"/>
                            <a:ext cx="2880995" cy="2160270"/>
                          </a:xfrm>
                          <a:prstGeom prst="rect">
                            <a:avLst/>
                          </a:prstGeom>
                          <a:noFill/>
                          <a:ln>
                            <a:noFill/>
                          </a:ln>
                        </pic:spPr>
                      </pic:pic>
                    </a:graphicData>
                  </a:graphic>
                </wp:inline>
              </w:drawing>
            </w:r>
          </w:p>
        </w:tc>
      </w:tr>
      <w:tr w:rsidR="00876D55" w14:paraId="339BE9FD" w14:textId="77777777">
        <w:tc>
          <w:tcPr>
            <w:tcW w:w="4927" w:type="dxa"/>
            <w:tcBorders>
              <w:top w:val="single" w:sz="4" w:space="0" w:color="auto"/>
              <w:left w:val="single" w:sz="4" w:space="0" w:color="auto"/>
              <w:bottom w:val="single" w:sz="4" w:space="0" w:color="auto"/>
              <w:right w:val="single" w:sz="4" w:space="0" w:color="auto"/>
            </w:tcBorders>
          </w:tcPr>
          <w:p w14:paraId="49117288" w14:textId="77777777" w:rsidR="00876D55" w:rsidRPr="00F06C39" w:rsidRDefault="008A77DE">
            <w:pPr>
              <w:snapToGrid w:val="0"/>
              <w:jc w:val="center"/>
              <w:rPr>
                <w:rFonts w:cs="Times New Roman"/>
                <w:sz w:val="20"/>
                <w:szCs w:val="20"/>
              </w:rPr>
            </w:pPr>
            <w:r w:rsidRPr="00F06C39">
              <w:rPr>
                <w:rFonts w:cs="Times New Roman"/>
                <w:sz w:val="20"/>
                <w:szCs w:val="20"/>
              </w:rPr>
              <w:t>Figure a) transmitted XR packet sizes</w:t>
            </w:r>
          </w:p>
        </w:tc>
        <w:tc>
          <w:tcPr>
            <w:tcW w:w="4928" w:type="dxa"/>
            <w:tcBorders>
              <w:top w:val="single" w:sz="4" w:space="0" w:color="auto"/>
              <w:left w:val="single" w:sz="4" w:space="0" w:color="auto"/>
              <w:bottom w:val="single" w:sz="4" w:space="0" w:color="auto"/>
              <w:right w:val="single" w:sz="4" w:space="0" w:color="auto"/>
            </w:tcBorders>
          </w:tcPr>
          <w:p w14:paraId="3D63AACA" w14:textId="77777777" w:rsidR="00876D55" w:rsidRPr="00F06C39" w:rsidRDefault="008A77DE">
            <w:pPr>
              <w:snapToGrid w:val="0"/>
              <w:jc w:val="center"/>
              <w:rPr>
                <w:rFonts w:cs="Times New Roman"/>
                <w:sz w:val="20"/>
                <w:szCs w:val="20"/>
              </w:rPr>
            </w:pPr>
            <w:r w:rsidRPr="00F06C39">
              <w:rPr>
                <w:rFonts w:cs="Times New Roman"/>
                <w:sz w:val="20"/>
                <w:szCs w:val="20"/>
              </w:rPr>
              <w:t>Figure b) service time for each packet</w:t>
            </w:r>
          </w:p>
        </w:tc>
      </w:tr>
    </w:tbl>
    <w:p w14:paraId="7F6C6A3F" w14:textId="77777777" w:rsidR="00876D55" w:rsidRPr="00F06C39" w:rsidRDefault="008A77DE">
      <w:pPr>
        <w:snapToGrid w:val="0"/>
        <w:rPr>
          <w:rFonts w:cs="Times New Roman"/>
          <w:sz w:val="20"/>
          <w:szCs w:val="20"/>
        </w:rPr>
      </w:pPr>
      <w:r w:rsidRPr="00F06C39">
        <w:rPr>
          <w:rFonts w:cs="Times New Roman"/>
          <w:sz w:val="20"/>
          <w:szCs w:val="20"/>
        </w:rPr>
        <w:t>The candidate value of capacity in composite requirement can be calculated by:</w:t>
      </w:r>
    </w:p>
    <w:p w14:paraId="7D34DCD5" w14:textId="77777777" w:rsidR="00876D55" w:rsidRPr="00F06C39" w:rsidRDefault="008A77DE">
      <w:pPr>
        <w:snapToGrid w:val="0"/>
        <w:rPr>
          <w:rFonts w:cs="Times New Roman"/>
          <w:sz w:val="20"/>
          <w:szCs w:val="20"/>
        </w:rPr>
      </w:pPr>
      <w:r w:rsidRPr="00F06C39">
        <w:rPr>
          <w:rFonts w:cs="Times New Roman"/>
          <w:sz w:val="20"/>
          <w:szCs w:val="20"/>
        </w:rPr>
        <w:t xml:space="preserve">(Average transmitted XR packet size / average service time for each packet / A) * UE density, </w:t>
      </w:r>
    </w:p>
    <w:p w14:paraId="7008D196" w14:textId="77777777" w:rsidR="00876D55" w:rsidRPr="00F06C39" w:rsidRDefault="008A77DE">
      <w:pPr>
        <w:snapToGrid w:val="0"/>
        <w:rPr>
          <w:rFonts w:cs="Times New Roman"/>
          <w:sz w:val="20"/>
          <w:szCs w:val="20"/>
        </w:rPr>
      </w:pPr>
      <w:r w:rsidRPr="00F06C39">
        <w:rPr>
          <w:rFonts w:cs="Times New Roman"/>
          <w:sz w:val="20"/>
          <w:szCs w:val="20"/>
        </w:rPr>
        <w:t>where average transmitted XR packet size can be obtained in Figure a), average service time for each packet can be obtained in Figure b). UE density is average 5 UE per cell</w:t>
      </w:r>
    </w:p>
    <w:p w14:paraId="1D5D4B39" w14:textId="77777777" w:rsidR="00876D55" w:rsidRPr="00F06C39" w:rsidRDefault="00876D55">
      <w:pPr>
        <w:snapToGrid w:val="0"/>
        <w:rPr>
          <w:rFonts w:cs="Times New Roman"/>
          <w:sz w:val="20"/>
          <w:szCs w:val="20"/>
        </w:rPr>
      </w:pPr>
    </w:p>
    <w:p w14:paraId="1F1B9A8F" w14:textId="77777777" w:rsidR="00876D55" w:rsidRPr="00F06C39" w:rsidRDefault="008A77DE">
      <w:pPr>
        <w:snapToGrid w:val="0"/>
        <w:outlineLvl w:val="1"/>
        <w:rPr>
          <w:rFonts w:cs="Times New Roman"/>
          <w:b/>
          <w:sz w:val="20"/>
          <w:szCs w:val="20"/>
          <w:u w:val="single"/>
        </w:rPr>
      </w:pPr>
      <w:r w:rsidRPr="00F06C39">
        <w:rPr>
          <w:rFonts w:cs="Times New Roman"/>
          <w:b/>
          <w:sz w:val="20"/>
          <w:szCs w:val="20"/>
          <w:u w:val="single"/>
        </w:rPr>
        <w:t>Sensing</w:t>
      </w:r>
    </w:p>
    <w:tbl>
      <w:tblPr>
        <w:tblW w:w="8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4"/>
        <w:gridCol w:w="4264"/>
      </w:tblGrid>
      <w:tr w:rsidR="00876D55" w14:paraId="5A1B3501" w14:textId="77777777">
        <w:tc>
          <w:tcPr>
            <w:tcW w:w="4264" w:type="dxa"/>
          </w:tcPr>
          <w:p w14:paraId="0105130E" w14:textId="77777777" w:rsidR="00876D55" w:rsidRPr="00F06C39" w:rsidRDefault="008A77DE">
            <w:pPr>
              <w:snapToGrid w:val="0"/>
              <w:spacing w:after="120"/>
              <w:jc w:val="center"/>
              <w:rPr>
                <w:rFonts w:cs="Times New Roman"/>
                <w:sz w:val="20"/>
                <w:szCs w:val="20"/>
              </w:rPr>
            </w:pPr>
            <w:r w:rsidRPr="00F06C39">
              <w:rPr>
                <w:rFonts w:cs="Times New Roman"/>
                <w:sz w:val="20"/>
                <w:szCs w:val="20"/>
              </w:rPr>
              <w:t>Sensing mode</w:t>
            </w:r>
          </w:p>
        </w:tc>
        <w:tc>
          <w:tcPr>
            <w:tcW w:w="4264" w:type="dxa"/>
          </w:tcPr>
          <w:p w14:paraId="3AB8AEEB" w14:textId="77777777" w:rsidR="00876D55" w:rsidRPr="00F06C39" w:rsidRDefault="008A77DE">
            <w:pPr>
              <w:snapToGrid w:val="0"/>
              <w:spacing w:after="120"/>
              <w:jc w:val="center"/>
              <w:rPr>
                <w:rFonts w:cs="Times New Roman"/>
                <w:sz w:val="20"/>
                <w:szCs w:val="20"/>
              </w:rPr>
            </w:pPr>
            <w:r w:rsidRPr="00F06C39">
              <w:rPr>
                <w:rFonts w:cs="Times New Roman"/>
                <w:sz w:val="20"/>
                <w:szCs w:val="20"/>
              </w:rPr>
              <w:t>TRP monostatic</w:t>
            </w:r>
          </w:p>
        </w:tc>
      </w:tr>
      <w:tr w:rsidR="00876D55" w14:paraId="687EF7A7" w14:textId="77777777">
        <w:tc>
          <w:tcPr>
            <w:tcW w:w="4264" w:type="dxa"/>
          </w:tcPr>
          <w:p w14:paraId="60CD3F2D" w14:textId="77777777" w:rsidR="00876D55" w:rsidRPr="00F06C39" w:rsidRDefault="008A77DE">
            <w:pPr>
              <w:snapToGrid w:val="0"/>
              <w:spacing w:after="120"/>
              <w:jc w:val="center"/>
              <w:rPr>
                <w:rFonts w:cs="Times New Roman"/>
                <w:sz w:val="20"/>
                <w:szCs w:val="20"/>
              </w:rPr>
            </w:pPr>
            <w:r w:rsidRPr="00F06C39">
              <w:rPr>
                <w:rFonts w:cs="Times New Roman"/>
                <w:sz w:val="20"/>
                <w:szCs w:val="20"/>
              </w:rPr>
              <w:t>Carrier frequency</w:t>
            </w:r>
          </w:p>
        </w:tc>
        <w:tc>
          <w:tcPr>
            <w:tcW w:w="4264" w:type="dxa"/>
          </w:tcPr>
          <w:p w14:paraId="3CFD9D0E" w14:textId="77777777" w:rsidR="00876D55" w:rsidRPr="00F06C39" w:rsidRDefault="008A77DE">
            <w:pPr>
              <w:snapToGrid w:val="0"/>
              <w:spacing w:after="120"/>
              <w:jc w:val="center"/>
              <w:rPr>
                <w:rFonts w:cs="Times New Roman"/>
                <w:sz w:val="20"/>
                <w:szCs w:val="20"/>
              </w:rPr>
            </w:pPr>
            <w:r w:rsidRPr="00F06C39">
              <w:rPr>
                <w:rFonts w:cs="Times New Roman"/>
                <w:sz w:val="20"/>
                <w:szCs w:val="20"/>
              </w:rPr>
              <w:t>6GHz</w:t>
            </w:r>
          </w:p>
        </w:tc>
      </w:tr>
      <w:tr w:rsidR="00876D55" w14:paraId="19D273AD" w14:textId="77777777">
        <w:tc>
          <w:tcPr>
            <w:tcW w:w="4264" w:type="dxa"/>
          </w:tcPr>
          <w:p w14:paraId="69EFAC24" w14:textId="77777777" w:rsidR="00876D55" w:rsidRPr="00F06C39" w:rsidRDefault="008A77DE">
            <w:pPr>
              <w:snapToGrid w:val="0"/>
              <w:spacing w:after="120"/>
              <w:jc w:val="center"/>
              <w:rPr>
                <w:rFonts w:cs="Times New Roman"/>
                <w:sz w:val="20"/>
                <w:szCs w:val="20"/>
              </w:rPr>
            </w:pPr>
            <w:r w:rsidRPr="00F06C39">
              <w:rPr>
                <w:rFonts w:cs="Times New Roman"/>
                <w:sz w:val="20"/>
                <w:szCs w:val="20"/>
              </w:rPr>
              <w:t>bandwidth</w:t>
            </w:r>
          </w:p>
        </w:tc>
        <w:tc>
          <w:tcPr>
            <w:tcW w:w="4264" w:type="dxa"/>
          </w:tcPr>
          <w:p w14:paraId="2AABBF31" w14:textId="77777777" w:rsidR="00876D55" w:rsidRPr="00F06C39" w:rsidRDefault="008A77DE">
            <w:pPr>
              <w:snapToGrid w:val="0"/>
              <w:spacing w:after="120"/>
              <w:jc w:val="center"/>
              <w:rPr>
                <w:rFonts w:cs="Times New Roman"/>
                <w:sz w:val="20"/>
                <w:szCs w:val="20"/>
              </w:rPr>
            </w:pPr>
            <w:r w:rsidRPr="00F06C39">
              <w:rPr>
                <w:rFonts w:cs="Times New Roman"/>
                <w:sz w:val="20"/>
                <w:szCs w:val="20"/>
              </w:rPr>
              <w:t>100 MHz</w:t>
            </w:r>
          </w:p>
        </w:tc>
      </w:tr>
      <w:tr w:rsidR="00876D55" w14:paraId="636C6996" w14:textId="77777777">
        <w:tc>
          <w:tcPr>
            <w:tcW w:w="4264" w:type="dxa"/>
          </w:tcPr>
          <w:p w14:paraId="39AC6227" w14:textId="77777777" w:rsidR="00876D55" w:rsidRPr="00F06C39" w:rsidRDefault="008A77DE">
            <w:pPr>
              <w:snapToGrid w:val="0"/>
              <w:spacing w:after="120"/>
              <w:jc w:val="center"/>
              <w:rPr>
                <w:rFonts w:cs="Times New Roman"/>
                <w:sz w:val="20"/>
                <w:szCs w:val="20"/>
              </w:rPr>
            </w:pPr>
            <w:r w:rsidRPr="00F06C39">
              <w:rPr>
                <w:rFonts w:cs="Times New Roman"/>
                <w:sz w:val="20"/>
                <w:szCs w:val="20"/>
              </w:rPr>
              <w:t>SCS</w:t>
            </w:r>
          </w:p>
        </w:tc>
        <w:tc>
          <w:tcPr>
            <w:tcW w:w="4264" w:type="dxa"/>
          </w:tcPr>
          <w:p w14:paraId="253E55C0" w14:textId="77777777" w:rsidR="00876D55" w:rsidRPr="00F06C39" w:rsidRDefault="008A77DE">
            <w:pPr>
              <w:snapToGrid w:val="0"/>
              <w:spacing w:after="120"/>
              <w:jc w:val="center"/>
              <w:rPr>
                <w:rFonts w:cs="Times New Roman"/>
                <w:sz w:val="20"/>
                <w:szCs w:val="20"/>
              </w:rPr>
            </w:pPr>
            <w:r w:rsidRPr="00F06C39">
              <w:rPr>
                <w:rFonts w:cs="Times New Roman"/>
                <w:sz w:val="20"/>
                <w:szCs w:val="20"/>
              </w:rPr>
              <w:t>30kHz</w:t>
            </w:r>
          </w:p>
        </w:tc>
      </w:tr>
      <w:tr w:rsidR="00876D55" w14:paraId="27B2884D" w14:textId="77777777">
        <w:tc>
          <w:tcPr>
            <w:tcW w:w="4264" w:type="dxa"/>
          </w:tcPr>
          <w:p w14:paraId="511B7A3B" w14:textId="77777777" w:rsidR="00876D55" w:rsidRPr="00F06C39" w:rsidRDefault="008A77DE">
            <w:pPr>
              <w:snapToGrid w:val="0"/>
              <w:spacing w:after="120"/>
              <w:jc w:val="center"/>
              <w:rPr>
                <w:rFonts w:cs="Times New Roman"/>
                <w:sz w:val="20"/>
                <w:szCs w:val="20"/>
              </w:rPr>
            </w:pPr>
            <w:r w:rsidRPr="00F06C39">
              <w:rPr>
                <w:rFonts w:cs="Times New Roman"/>
                <w:sz w:val="20"/>
                <w:szCs w:val="20"/>
              </w:rPr>
              <w:t>BS Tx power</w:t>
            </w:r>
          </w:p>
        </w:tc>
        <w:tc>
          <w:tcPr>
            <w:tcW w:w="4264" w:type="dxa"/>
          </w:tcPr>
          <w:p w14:paraId="262D0200" w14:textId="77777777" w:rsidR="00876D55" w:rsidRPr="00F06C39" w:rsidRDefault="008A77DE">
            <w:pPr>
              <w:snapToGrid w:val="0"/>
              <w:spacing w:after="120"/>
              <w:jc w:val="center"/>
              <w:rPr>
                <w:rFonts w:cs="Times New Roman"/>
                <w:sz w:val="20"/>
                <w:szCs w:val="20"/>
              </w:rPr>
            </w:pPr>
            <w:r w:rsidRPr="00F06C39">
              <w:rPr>
                <w:rFonts w:cs="Times New Roman"/>
                <w:sz w:val="20"/>
                <w:szCs w:val="20"/>
              </w:rPr>
              <w:t>49 dBm</w:t>
            </w:r>
          </w:p>
        </w:tc>
      </w:tr>
      <w:tr w:rsidR="00876D55" w14:paraId="7438F366" w14:textId="77777777">
        <w:trPr>
          <w:trHeight w:val="90"/>
        </w:trPr>
        <w:tc>
          <w:tcPr>
            <w:tcW w:w="4264" w:type="dxa"/>
          </w:tcPr>
          <w:p w14:paraId="0723C4B3" w14:textId="77777777" w:rsidR="00876D55" w:rsidRPr="00F06C39" w:rsidRDefault="008A77DE">
            <w:pPr>
              <w:snapToGrid w:val="0"/>
              <w:spacing w:after="120"/>
              <w:jc w:val="center"/>
              <w:rPr>
                <w:rFonts w:cs="Times New Roman"/>
                <w:sz w:val="20"/>
                <w:szCs w:val="20"/>
              </w:rPr>
            </w:pPr>
            <w:r w:rsidRPr="00F06C39">
              <w:rPr>
                <w:rFonts w:cs="Times New Roman"/>
                <w:sz w:val="20"/>
                <w:szCs w:val="20"/>
              </w:rPr>
              <w:t>BS antenna configuration</w:t>
            </w:r>
          </w:p>
        </w:tc>
        <w:tc>
          <w:tcPr>
            <w:tcW w:w="4264" w:type="dxa"/>
          </w:tcPr>
          <w:p w14:paraId="023DA886" w14:textId="77777777" w:rsidR="00876D55" w:rsidRPr="00F06C39" w:rsidRDefault="008A77DE">
            <w:pPr>
              <w:snapToGrid w:val="0"/>
              <w:spacing w:after="120"/>
              <w:jc w:val="center"/>
              <w:rPr>
                <w:rFonts w:eastAsia="MS UI Gothic" w:cs="Times New Roman"/>
                <w:sz w:val="20"/>
                <w:szCs w:val="20"/>
                <w:lang w:eastAsia="ja-JP"/>
              </w:rPr>
            </w:pPr>
            <w:r w:rsidRPr="00F06C39">
              <w:rPr>
                <w:rFonts w:eastAsia="MS UI Gothic" w:cs="Times New Roman"/>
                <w:sz w:val="20"/>
                <w:szCs w:val="20"/>
                <w:lang w:eastAsia="ja-JP"/>
              </w:rPr>
              <w:t xml:space="preserve"> (M, N, P, M</w:t>
            </w:r>
            <w:r w:rsidRPr="00F06C39">
              <w:rPr>
                <w:rFonts w:eastAsia="MS UI Gothic" w:cs="Times New Roman"/>
                <w:sz w:val="20"/>
                <w:szCs w:val="20"/>
                <w:vertAlign w:val="subscript"/>
                <w:lang w:eastAsia="ja-JP"/>
              </w:rPr>
              <w:t>g</w:t>
            </w:r>
            <w:r w:rsidRPr="00F06C39">
              <w:rPr>
                <w:rFonts w:eastAsia="MS UI Gothic" w:cs="Times New Roman"/>
                <w:sz w:val="20"/>
                <w:szCs w:val="20"/>
                <w:lang w:eastAsia="ja-JP"/>
              </w:rPr>
              <w:t>, N</w:t>
            </w:r>
            <w:r w:rsidRPr="00F06C39">
              <w:rPr>
                <w:rFonts w:eastAsia="MS UI Gothic" w:cs="Times New Roman"/>
                <w:sz w:val="20"/>
                <w:szCs w:val="20"/>
                <w:vertAlign w:val="subscript"/>
                <w:lang w:eastAsia="ja-JP"/>
              </w:rPr>
              <w:t>g</w:t>
            </w:r>
            <w:r w:rsidRPr="00F06C39">
              <w:rPr>
                <w:rFonts w:eastAsia="MS UI Gothic" w:cs="Times New Roman"/>
                <w:sz w:val="20"/>
                <w:szCs w:val="20"/>
                <w:lang w:eastAsia="ja-JP"/>
              </w:rPr>
              <w:t>) = (</w:t>
            </w:r>
            <w:r w:rsidRPr="00F06C39">
              <w:rPr>
                <w:rFonts w:cs="Times New Roman"/>
                <w:sz w:val="20"/>
                <w:szCs w:val="20"/>
              </w:rPr>
              <w:t>16</w:t>
            </w:r>
            <w:r w:rsidRPr="00F06C39">
              <w:rPr>
                <w:rFonts w:eastAsia="MS UI Gothic" w:cs="Times New Roman"/>
                <w:sz w:val="20"/>
                <w:szCs w:val="20"/>
                <w:lang w:eastAsia="ja-JP"/>
              </w:rPr>
              <w:t xml:space="preserve">, </w:t>
            </w:r>
            <w:r w:rsidRPr="00F06C39">
              <w:rPr>
                <w:rFonts w:cs="Times New Roman"/>
                <w:sz w:val="20"/>
                <w:szCs w:val="20"/>
              </w:rPr>
              <w:t>16</w:t>
            </w:r>
            <w:r w:rsidRPr="00F06C39">
              <w:rPr>
                <w:rFonts w:eastAsia="MS UI Gothic" w:cs="Times New Roman"/>
                <w:sz w:val="20"/>
                <w:szCs w:val="20"/>
                <w:lang w:eastAsia="ja-JP"/>
              </w:rPr>
              <w:t>, 2, 1, 1),</w:t>
            </w:r>
          </w:p>
          <w:p w14:paraId="1276D794" w14:textId="77777777" w:rsidR="00876D55" w:rsidRPr="00F06C39" w:rsidRDefault="008A77DE">
            <w:pPr>
              <w:snapToGrid w:val="0"/>
              <w:spacing w:after="120"/>
              <w:jc w:val="center"/>
              <w:rPr>
                <w:rFonts w:eastAsia="MS UI Gothic" w:cs="Times New Roman"/>
                <w:sz w:val="20"/>
                <w:szCs w:val="20"/>
                <w:lang w:eastAsia="ja-JP"/>
              </w:rPr>
            </w:pPr>
            <w:r w:rsidRPr="00F06C39">
              <w:rPr>
                <w:rFonts w:eastAsia="MS UI Gothic" w:cs="Times New Roman"/>
                <w:sz w:val="20"/>
                <w:szCs w:val="20"/>
                <w:lang w:eastAsia="ja-JP"/>
              </w:rPr>
              <w:t xml:space="preserve"> </w:t>
            </w:r>
            <w:proofErr w:type="spellStart"/>
            <w:r w:rsidRPr="00F06C39">
              <w:rPr>
                <w:rFonts w:eastAsia="MS UI Gothic" w:cs="Times New Roman"/>
                <w:sz w:val="20"/>
                <w:szCs w:val="20"/>
                <w:lang w:eastAsia="ja-JP"/>
              </w:rPr>
              <w:t>d</w:t>
            </w:r>
            <w:r w:rsidRPr="00F06C39">
              <w:rPr>
                <w:rFonts w:eastAsia="MS UI Gothic" w:cs="Times New Roman"/>
                <w:sz w:val="20"/>
                <w:szCs w:val="20"/>
                <w:vertAlign w:val="subscript"/>
                <w:lang w:eastAsia="ja-JP"/>
              </w:rPr>
              <w:t>H</w:t>
            </w:r>
            <w:proofErr w:type="spellEnd"/>
            <w:r w:rsidRPr="00F06C39">
              <w:rPr>
                <w:rFonts w:eastAsia="MS UI Gothic" w:cs="Times New Roman"/>
                <w:sz w:val="20"/>
                <w:szCs w:val="20"/>
                <w:lang w:eastAsia="ja-JP"/>
              </w:rPr>
              <w:t xml:space="preserve"> =</w:t>
            </w:r>
            <w:r w:rsidRPr="00F06C39">
              <w:rPr>
                <w:rFonts w:cs="Times New Roman"/>
                <w:sz w:val="20"/>
                <w:szCs w:val="20"/>
              </w:rPr>
              <w:t xml:space="preserve"> </w:t>
            </w:r>
            <w:r w:rsidRPr="00F06C39">
              <w:rPr>
                <w:rFonts w:eastAsia="MS UI Gothic" w:cs="Times New Roman"/>
                <w:sz w:val="20"/>
                <w:szCs w:val="20"/>
                <w:lang w:eastAsia="ja-JP"/>
              </w:rPr>
              <w:t>0.5 λ</w:t>
            </w:r>
            <w:r w:rsidRPr="00F06C39">
              <w:rPr>
                <w:rFonts w:cs="Times New Roman" w:hint="eastAsia"/>
                <w:sz w:val="20"/>
                <w:szCs w:val="20"/>
              </w:rPr>
              <w:t>，</w:t>
            </w:r>
            <w:proofErr w:type="spellStart"/>
            <w:r w:rsidRPr="00F06C39">
              <w:rPr>
                <w:rFonts w:eastAsia="MS UI Gothic" w:cs="Times New Roman"/>
                <w:sz w:val="20"/>
                <w:szCs w:val="20"/>
                <w:lang w:eastAsia="ja-JP"/>
              </w:rPr>
              <w:t>d</w:t>
            </w:r>
            <w:r w:rsidRPr="00F06C39">
              <w:rPr>
                <w:rFonts w:eastAsia="MS UI Gothic" w:cs="Times New Roman"/>
                <w:sz w:val="20"/>
                <w:szCs w:val="20"/>
                <w:vertAlign w:val="subscript"/>
                <w:lang w:eastAsia="ja-JP"/>
              </w:rPr>
              <w:t>V</w:t>
            </w:r>
            <w:proofErr w:type="spellEnd"/>
            <w:r w:rsidRPr="00F06C39">
              <w:rPr>
                <w:rFonts w:eastAsia="MS UI Gothic" w:cs="Times New Roman"/>
                <w:sz w:val="20"/>
                <w:szCs w:val="20"/>
                <w:lang w:eastAsia="ja-JP"/>
              </w:rPr>
              <w:t xml:space="preserve"> = 0.</w:t>
            </w:r>
            <w:r w:rsidRPr="00F06C39">
              <w:rPr>
                <w:rFonts w:cs="Times New Roman"/>
                <w:sz w:val="20"/>
                <w:szCs w:val="20"/>
              </w:rPr>
              <w:t xml:space="preserve">5 </w:t>
            </w:r>
            <w:r w:rsidRPr="00F06C39">
              <w:rPr>
                <w:rFonts w:eastAsia="MS UI Gothic" w:cs="Times New Roman"/>
                <w:sz w:val="20"/>
                <w:szCs w:val="20"/>
                <w:lang w:eastAsia="ja-JP"/>
              </w:rPr>
              <w:t>λ</w:t>
            </w:r>
          </w:p>
        </w:tc>
      </w:tr>
      <w:tr w:rsidR="00876D55" w14:paraId="28BB7D31" w14:textId="77777777">
        <w:tc>
          <w:tcPr>
            <w:tcW w:w="4264" w:type="dxa"/>
          </w:tcPr>
          <w:p w14:paraId="47DE8E75" w14:textId="77777777" w:rsidR="00876D55" w:rsidRPr="00F06C39" w:rsidRDefault="008A77DE">
            <w:pPr>
              <w:snapToGrid w:val="0"/>
              <w:spacing w:after="120"/>
              <w:jc w:val="center"/>
              <w:rPr>
                <w:rFonts w:cs="Times New Roman"/>
                <w:sz w:val="20"/>
                <w:szCs w:val="20"/>
              </w:rPr>
            </w:pPr>
            <w:r w:rsidRPr="00F06C39">
              <w:rPr>
                <w:rFonts w:cs="Times New Roman"/>
                <w:sz w:val="20"/>
                <w:szCs w:val="20"/>
              </w:rPr>
              <w:t>BS height</w:t>
            </w:r>
          </w:p>
        </w:tc>
        <w:tc>
          <w:tcPr>
            <w:tcW w:w="4264" w:type="dxa"/>
          </w:tcPr>
          <w:p w14:paraId="400C08D4" w14:textId="77777777" w:rsidR="00876D55" w:rsidRPr="00F06C39" w:rsidRDefault="008A77DE">
            <w:pPr>
              <w:snapToGrid w:val="0"/>
              <w:spacing w:after="120"/>
              <w:jc w:val="center"/>
              <w:rPr>
                <w:rFonts w:cs="Times New Roman"/>
                <w:sz w:val="20"/>
                <w:szCs w:val="20"/>
              </w:rPr>
            </w:pPr>
            <w:r w:rsidRPr="00F06C39">
              <w:rPr>
                <w:rFonts w:cs="Times New Roman"/>
                <w:sz w:val="20"/>
                <w:szCs w:val="20"/>
              </w:rPr>
              <w:t>35m</w:t>
            </w:r>
          </w:p>
        </w:tc>
      </w:tr>
      <w:tr w:rsidR="00876D55" w14:paraId="643E8BB8" w14:textId="77777777">
        <w:tc>
          <w:tcPr>
            <w:tcW w:w="4264" w:type="dxa"/>
          </w:tcPr>
          <w:p w14:paraId="3BBE81EA" w14:textId="77777777" w:rsidR="00876D55" w:rsidRPr="00F06C39" w:rsidRDefault="008A77DE">
            <w:pPr>
              <w:snapToGrid w:val="0"/>
              <w:spacing w:after="120"/>
              <w:jc w:val="center"/>
              <w:rPr>
                <w:rFonts w:cs="Times New Roman"/>
                <w:sz w:val="20"/>
                <w:szCs w:val="20"/>
              </w:rPr>
            </w:pPr>
            <w:r w:rsidRPr="00F06C39">
              <w:rPr>
                <w:rFonts w:cs="Times New Roman"/>
                <w:sz w:val="20"/>
                <w:szCs w:val="20"/>
              </w:rPr>
              <w:t>BS noise figure</w:t>
            </w:r>
          </w:p>
        </w:tc>
        <w:tc>
          <w:tcPr>
            <w:tcW w:w="4264" w:type="dxa"/>
          </w:tcPr>
          <w:p w14:paraId="168AC1EE" w14:textId="77777777" w:rsidR="00876D55" w:rsidRPr="00F06C39" w:rsidRDefault="008A77DE">
            <w:pPr>
              <w:snapToGrid w:val="0"/>
              <w:spacing w:after="120"/>
              <w:jc w:val="center"/>
              <w:rPr>
                <w:rFonts w:cs="Times New Roman"/>
                <w:sz w:val="20"/>
                <w:szCs w:val="20"/>
              </w:rPr>
            </w:pPr>
            <w:r w:rsidRPr="00F06C39">
              <w:rPr>
                <w:rFonts w:cs="Times New Roman"/>
                <w:sz w:val="20"/>
                <w:szCs w:val="20"/>
              </w:rPr>
              <w:t xml:space="preserve">5 </w:t>
            </w:r>
            <w:proofErr w:type="spellStart"/>
            <w:r w:rsidRPr="00F06C39">
              <w:rPr>
                <w:rFonts w:cs="Times New Roman"/>
                <w:sz w:val="20"/>
                <w:szCs w:val="20"/>
              </w:rPr>
              <w:t>dBi</w:t>
            </w:r>
            <w:proofErr w:type="spellEnd"/>
          </w:p>
        </w:tc>
      </w:tr>
      <w:tr w:rsidR="00876D55" w14:paraId="12074FB6" w14:textId="77777777">
        <w:tc>
          <w:tcPr>
            <w:tcW w:w="4264" w:type="dxa"/>
          </w:tcPr>
          <w:p w14:paraId="4E82FDE4" w14:textId="77777777" w:rsidR="00876D55" w:rsidRPr="00F06C39" w:rsidRDefault="008A77DE">
            <w:pPr>
              <w:snapToGrid w:val="0"/>
              <w:spacing w:after="120"/>
              <w:jc w:val="center"/>
              <w:rPr>
                <w:rFonts w:cs="Times New Roman"/>
                <w:sz w:val="20"/>
                <w:szCs w:val="20"/>
              </w:rPr>
            </w:pPr>
            <w:r w:rsidRPr="00F06C39">
              <w:rPr>
                <w:rFonts w:cs="Times New Roman"/>
                <w:sz w:val="20"/>
                <w:szCs w:val="20"/>
              </w:rPr>
              <w:t>Thermal noise</w:t>
            </w:r>
          </w:p>
        </w:tc>
        <w:tc>
          <w:tcPr>
            <w:tcW w:w="4264" w:type="dxa"/>
          </w:tcPr>
          <w:p w14:paraId="1252EAD3" w14:textId="77777777" w:rsidR="00876D55" w:rsidRPr="00F06C39" w:rsidRDefault="008A77DE">
            <w:pPr>
              <w:snapToGrid w:val="0"/>
              <w:spacing w:after="120"/>
              <w:jc w:val="center"/>
              <w:rPr>
                <w:rFonts w:cs="Times New Roman"/>
                <w:sz w:val="20"/>
                <w:szCs w:val="20"/>
              </w:rPr>
            </w:pPr>
            <w:r w:rsidRPr="00F06C39">
              <w:rPr>
                <w:rFonts w:cs="Times New Roman"/>
                <w:sz w:val="20"/>
                <w:szCs w:val="20"/>
              </w:rPr>
              <w:t>-174dBm/Hz</w:t>
            </w:r>
          </w:p>
        </w:tc>
      </w:tr>
      <w:tr w:rsidR="00876D55" w14:paraId="0AA82C49" w14:textId="77777777">
        <w:tc>
          <w:tcPr>
            <w:tcW w:w="4264" w:type="dxa"/>
          </w:tcPr>
          <w:p w14:paraId="3D89AF4A" w14:textId="77777777" w:rsidR="00876D55" w:rsidRPr="00F06C39" w:rsidRDefault="008A77DE">
            <w:pPr>
              <w:snapToGrid w:val="0"/>
              <w:spacing w:after="120"/>
              <w:jc w:val="center"/>
              <w:rPr>
                <w:rFonts w:cs="Times New Roman"/>
                <w:sz w:val="20"/>
                <w:szCs w:val="20"/>
              </w:rPr>
            </w:pPr>
            <w:r w:rsidRPr="00F06C39">
              <w:rPr>
                <w:rFonts w:cs="Times New Roman"/>
                <w:sz w:val="20"/>
                <w:szCs w:val="20"/>
              </w:rPr>
              <w:t>UAV height (sensing target)</w:t>
            </w:r>
          </w:p>
        </w:tc>
        <w:tc>
          <w:tcPr>
            <w:tcW w:w="4264" w:type="dxa"/>
          </w:tcPr>
          <w:p w14:paraId="6616903C" w14:textId="77777777" w:rsidR="00876D55" w:rsidRPr="00F06C39" w:rsidRDefault="008A77DE">
            <w:pPr>
              <w:snapToGrid w:val="0"/>
              <w:spacing w:after="120"/>
              <w:jc w:val="center"/>
              <w:rPr>
                <w:rFonts w:cs="Times New Roman"/>
                <w:sz w:val="20"/>
                <w:szCs w:val="20"/>
              </w:rPr>
            </w:pPr>
            <w:r w:rsidRPr="00F06C39">
              <w:rPr>
                <w:rFonts w:cs="Times New Roman"/>
                <w:sz w:val="20"/>
                <w:szCs w:val="20"/>
              </w:rPr>
              <w:t>200m</w:t>
            </w:r>
          </w:p>
        </w:tc>
      </w:tr>
      <w:tr w:rsidR="00876D55" w14:paraId="0641C66F" w14:textId="77777777">
        <w:tc>
          <w:tcPr>
            <w:tcW w:w="4264" w:type="dxa"/>
          </w:tcPr>
          <w:p w14:paraId="70B7A1DE" w14:textId="77777777" w:rsidR="00876D55" w:rsidRPr="00F06C39" w:rsidRDefault="008A77DE">
            <w:pPr>
              <w:snapToGrid w:val="0"/>
              <w:spacing w:after="120"/>
              <w:jc w:val="center"/>
              <w:rPr>
                <w:rFonts w:cs="Times New Roman"/>
                <w:sz w:val="20"/>
                <w:szCs w:val="20"/>
              </w:rPr>
            </w:pPr>
            <w:r w:rsidRPr="00F06C39">
              <w:rPr>
                <w:rFonts w:cs="Times New Roman"/>
                <w:sz w:val="20"/>
                <w:szCs w:val="20"/>
              </w:rPr>
              <w:t>UAV velocity</w:t>
            </w:r>
          </w:p>
        </w:tc>
        <w:tc>
          <w:tcPr>
            <w:tcW w:w="4264" w:type="dxa"/>
          </w:tcPr>
          <w:p w14:paraId="4FC9A813" w14:textId="77777777" w:rsidR="00876D55" w:rsidRPr="00F06C39" w:rsidRDefault="008A77DE">
            <w:pPr>
              <w:snapToGrid w:val="0"/>
              <w:spacing w:after="120"/>
              <w:jc w:val="center"/>
              <w:rPr>
                <w:rFonts w:cs="Times New Roman"/>
                <w:sz w:val="20"/>
                <w:szCs w:val="20"/>
              </w:rPr>
            </w:pPr>
            <w:r w:rsidRPr="00F06C39">
              <w:rPr>
                <w:rFonts w:cs="Times New Roman"/>
                <w:sz w:val="20"/>
                <w:szCs w:val="20"/>
              </w:rPr>
              <w:t xml:space="preserve">0-60km/h uniform in horizontal </w:t>
            </w:r>
          </w:p>
        </w:tc>
      </w:tr>
      <w:tr w:rsidR="00876D55" w14:paraId="247530F2" w14:textId="77777777">
        <w:tc>
          <w:tcPr>
            <w:tcW w:w="4264" w:type="dxa"/>
          </w:tcPr>
          <w:p w14:paraId="24664886" w14:textId="77777777" w:rsidR="00876D55" w:rsidRPr="00F06C39" w:rsidRDefault="008A77DE">
            <w:pPr>
              <w:snapToGrid w:val="0"/>
              <w:spacing w:after="120"/>
              <w:jc w:val="center"/>
              <w:rPr>
                <w:rFonts w:cs="Times New Roman"/>
                <w:sz w:val="20"/>
                <w:szCs w:val="20"/>
              </w:rPr>
            </w:pPr>
            <w:r w:rsidRPr="00F06C39">
              <w:rPr>
                <w:rFonts w:cs="Times New Roman"/>
                <w:sz w:val="20"/>
                <w:szCs w:val="20"/>
              </w:rPr>
              <w:t>UAV distribution</w:t>
            </w:r>
          </w:p>
        </w:tc>
        <w:tc>
          <w:tcPr>
            <w:tcW w:w="4264" w:type="dxa"/>
          </w:tcPr>
          <w:p w14:paraId="02F8F900" w14:textId="77777777" w:rsidR="00876D55" w:rsidRPr="00F06C39" w:rsidRDefault="008A77DE">
            <w:pPr>
              <w:snapToGrid w:val="0"/>
              <w:spacing w:after="120"/>
              <w:jc w:val="center"/>
              <w:rPr>
                <w:rFonts w:cs="Times New Roman"/>
                <w:sz w:val="20"/>
                <w:szCs w:val="20"/>
              </w:rPr>
            </w:pPr>
            <w:r w:rsidRPr="00F06C39">
              <w:rPr>
                <w:rFonts w:cs="Times New Roman"/>
                <w:sz w:val="20"/>
                <w:szCs w:val="20"/>
              </w:rPr>
              <w:t>5 targets in center sector</w:t>
            </w:r>
          </w:p>
        </w:tc>
      </w:tr>
      <w:tr w:rsidR="00876D55" w14:paraId="20C63532" w14:textId="77777777">
        <w:tc>
          <w:tcPr>
            <w:tcW w:w="4264" w:type="dxa"/>
          </w:tcPr>
          <w:p w14:paraId="3EE37362" w14:textId="77777777" w:rsidR="00876D55" w:rsidRPr="00F06C39" w:rsidRDefault="008A77DE">
            <w:pPr>
              <w:snapToGrid w:val="0"/>
              <w:spacing w:after="120"/>
              <w:jc w:val="center"/>
              <w:rPr>
                <w:rFonts w:cs="Times New Roman"/>
                <w:sz w:val="20"/>
                <w:szCs w:val="20"/>
              </w:rPr>
            </w:pPr>
            <w:r w:rsidRPr="00F06C39">
              <w:rPr>
                <w:rFonts w:cs="Times New Roman"/>
                <w:sz w:val="20"/>
                <w:szCs w:val="20"/>
              </w:rPr>
              <w:t>Number of Drops</w:t>
            </w:r>
          </w:p>
        </w:tc>
        <w:tc>
          <w:tcPr>
            <w:tcW w:w="4264" w:type="dxa"/>
          </w:tcPr>
          <w:p w14:paraId="36CE3B50" w14:textId="77777777" w:rsidR="00876D55" w:rsidRPr="00F06C39" w:rsidRDefault="008A77DE">
            <w:pPr>
              <w:snapToGrid w:val="0"/>
              <w:spacing w:after="120"/>
              <w:jc w:val="center"/>
              <w:rPr>
                <w:rFonts w:cs="Times New Roman"/>
                <w:sz w:val="20"/>
                <w:szCs w:val="20"/>
              </w:rPr>
            </w:pPr>
            <w:r w:rsidRPr="00F06C39">
              <w:rPr>
                <w:rFonts w:cs="Times New Roman"/>
                <w:sz w:val="20"/>
                <w:szCs w:val="20"/>
              </w:rPr>
              <w:t>200</w:t>
            </w:r>
          </w:p>
        </w:tc>
      </w:tr>
    </w:tbl>
    <w:p w14:paraId="6EF37D6D" w14:textId="77777777" w:rsidR="00876D55" w:rsidRPr="00F06C39" w:rsidRDefault="00876D55">
      <w:pPr>
        <w:snapToGrid w:val="0"/>
        <w:rPr>
          <w:rFonts w:cs="Times New Roman"/>
          <w:sz w:val="20"/>
          <w:szCs w:val="20"/>
        </w:rPr>
      </w:pPr>
    </w:p>
    <w:p w14:paraId="0E1FBCA1" w14:textId="77777777" w:rsidR="00876D55" w:rsidRPr="00F06C39" w:rsidRDefault="008A77DE">
      <w:pPr>
        <w:snapToGrid w:val="0"/>
        <w:jc w:val="center"/>
        <w:rPr>
          <w:rFonts w:cs="Times New Roman"/>
          <w:sz w:val="20"/>
          <w:szCs w:val="20"/>
        </w:rPr>
      </w:pPr>
      <w:r w:rsidRPr="00F06C39">
        <w:rPr>
          <w:rFonts w:cs="Times New Roman"/>
          <w:sz w:val="20"/>
          <w:szCs w:val="20"/>
        </w:rPr>
        <w:lastRenderedPageBreak/>
        <w:t xml:space="preserve"> </w:t>
      </w:r>
      <w:r w:rsidRPr="00F06C39">
        <w:rPr>
          <w:rFonts w:cs="Times New Roman"/>
          <w:noProof/>
          <w:sz w:val="20"/>
          <w:szCs w:val="20"/>
        </w:rPr>
        <w:drawing>
          <wp:inline distT="0" distB="0" distL="114300" distR="114300" wp14:anchorId="09059E83" wp14:editId="379EC089">
            <wp:extent cx="2520315" cy="1890395"/>
            <wp:effectExtent l="0" t="0" r="13335" b="14605"/>
            <wp:docPr id="33" name="图片 33" descr="VelError_C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VelError_CDF"/>
                    <pic:cNvPicPr>
                      <a:picLocks noChangeAspect="1"/>
                    </pic:cNvPicPr>
                  </pic:nvPicPr>
                  <pic:blipFill>
                    <a:blip r:embed="rId10"/>
                    <a:stretch>
                      <a:fillRect/>
                    </a:stretch>
                  </pic:blipFill>
                  <pic:spPr>
                    <a:xfrm>
                      <a:off x="0" y="0"/>
                      <a:ext cx="2520315" cy="1890395"/>
                    </a:xfrm>
                    <a:prstGeom prst="rect">
                      <a:avLst/>
                    </a:prstGeom>
                  </pic:spPr>
                </pic:pic>
              </a:graphicData>
            </a:graphic>
          </wp:inline>
        </w:drawing>
      </w:r>
    </w:p>
    <w:p w14:paraId="7294340B" w14:textId="77777777" w:rsidR="00876D55" w:rsidRPr="00F06C39" w:rsidRDefault="008A77DE">
      <w:pPr>
        <w:snapToGrid w:val="0"/>
        <w:ind w:firstLineChars="700" w:firstLine="1400"/>
        <w:rPr>
          <w:rFonts w:cs="Times New Roman"/>
          <w:sz w:val="20"/>
          <w:szCs w:val="20"/>
        </w:rPr>
      </w:pPr>
      <w:r w:rsidRPr="00F06C39">
        <w:rPr>
          <w:rFonts w:cs="Times New Roman"/>
          <w:sz w:val="20"/>
          <w:szCs w:val="20"/>
        </w:rPr>
        <w:t xml:space="preserve">                                (a) Velocity</w:t>
      </w:r>
    </w:p>
    <w:p w14:paraId="3A9D75BE" w14:textId="77777777" w:rsidR="00876D55" w:rsidRPr="00F06C39" w:rsidRDefault="008A77DE">
      <w:pPr>
        <w:snapToGrid w:val="0"/>
        <w:jc w:val="center"/>
        <w:rPr>
          <w:rFonts w:cs="Times New Roman"/>
          <w:sz w:val="20"/>
          <w:szCs w:val="20"/>
        </w:rPr>
      </w:pPr>
      <w:r w:rsidRPr="00F06C39">
        <w:rPr>
          <w:rFonts w:cs="Times New Roman"/>
          <w:noProof/>
          <w:sz w:val="20"/>
          <w:szCs w:val="20"/>
        </w:rPr>
        <w:drawing>
          <wp:inline distT="0" distB="0" distL="114300" distR="114300" wp14:anchorId="604D2368" wp14:editId="0A542C3E">
            <wp:extent cx="2520315" cy="1890395"/>
            <wp:effectExtent l="0" t="0" r="13335" b="14605"/>
            <wp:docPr id="38" name="图片 38" descr="PosError_H_Cluster_C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descr="PosError_H_Cluster_CDF"/>
                    <pic:cNvPicPr>
                      <a:picLocks noChangeAspect="1"/>
                    </pic:cNvPicPr>
                  </pic:nvPicPr>
                  <pic:blipFill>
                    <a:blip r:embed="rId11"/>
                    <a:stretch>
                      <a:fillRect/>
                    </a:stretch>
                  </pic:blipFill>
                  <pic:spPr>
                    <a:xfrm>
                      <a:off x="0" y="0"/>
                      <a:ext cx="2520315" cy="1890395"/>
                    </a:xfrm>
                    <a:prstGeom prst="rect">
                      <a:avLst/>
                    </a:prstGeom>
                  </pic:spPr>
                </pic:pic>
              </a:graphicData>
            </a:graphic>
          </wp:inline>
        </w:drawing>
      </w:r>
      <w:r w:rsidRPr="00F06C39">
        <w:rPr>
          <w:rFonts w:cs="Times New Roman"/>
          <w:sz w:val="20"/>
          <w:szCs w:val="20"/>
        </w:rPr>
        <w:t xml:space="preserve"> </w:t>
      </w:r>
      <w:r w:rsidRPr="00F06C39">
        <w:rPr>
          <w:rFonts w:cs="Times New Roman"/>
          <w:noProof/>
          <w:sz w:val="20"/>
          <w:szCs w:val="20"/>
        </w:rPr>
        <w:drawing>
          <wp:inline distT="0" distB="0" distL="114300" distR="114300" wp14:anchorId="5A3209BC" wp14:editId="4CAC4883">
            <wp:extent cx="2520315" cy="1890395"/>
            <wp:effectExtent l="0" t="0" r="13335" b="14605"/>
            <wp:docPr id="39" name="图片 39" descr="PosError_V_Cluster_C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descr="PosError_V_Cluster_CDF"/>
                    <pic:cNvPicPr>
                      <a:picLocks noChangeAspect="1"/>
                    </pic:cNvPicPr>
                  </pic:nvPicPr>
                  <pic:blipFill>
                    <a:blip r:embed="rId12"/>
                    <a:stretch>
                      <a:fillRect/>
                    </a:stretch>
                  </pic:blipFill>
                  <pic:spPr>
                    <a:xfrm>
                      <a:off x="0" y="0"/>
                      <a:ext cx="2520315" cy="1890395"/>
                    </a:xfrm>
                    <a:prstGeom prst="rect">
                      <a:avLst/>
                    </a:prstGeom>
                  </pic:spPr>
                </pic:pic>
              </a:graphicData>
            </a:graphic>
          </wp:inline>
        </w:drawing>
      </w:r>
    </w:p>
    <w:p w14:paraId="45BADBA8" w14:textId="77777777" w:rsidR="00876D55" w:rsidRPr="00F06C39" w:rsidRDefault="008A77DE">
      <w:pPr>
        <w:snapToGrid w:val="0"/>
        <w:ind w:firstLineChars="600" w:firstLine="1200"/>
        <w:rPr>
          <w:rFonts w:cs="Times New Roman"/>
          <w:sz w:val="20"/>
          <w:szCs w:val="20"/>
        </w:rPr>
      </w:pPr>
      <w:r w:rsidRPr="00F06C39">
        <w:rPr>
          <w:rFonts w:cs="Times New Roman"/>
          <w:sz w:val="20"/>
          <w:szCs w:val="20"/>
        </w:rPr>
        <w:t xml:space="preserve">(b) </w:t>
      </w:r>
      <w:proofErr w:type="spellStart"/>
      <w:r w:rsidRPr="00F06C39">
        <w:rPr>
          <w:rFonts w:cs="Times New Roman"/>
          <w:sz w:val="20"/>
          <w:szCs w:val="20"/>
        </w:rPr>
        <w:t>Pos_H_Cluster</w:t>
      </w:r>
      <w:proofErr w:type="spellEnd"/>
      <w:r w:rsidRPr="00F06C39">
        <w:rPr>
          <w:rFonts w:cs="Times New Roman"/>
          <w:sz w:val="20"/>
          <w:szCs w:val="20"/>
        </w:rPr>
        <w:t xml:space="preserve">                          (c) </w:t>
      </w:r>
      <w:proofErr w:type="spellStart"/>
      <w:r w:rsidRPr="00F06C39">
        <w:rPr>
          <w:rFonts w:cs="Times New Roman"/>
          <w:sz w:val="20"/>
          <w:szCs w:val="20"/>
        </w:rPr>
        <w:t>Pos_V_Cluster</w:t>
      </w:r>
      <w:proofErr w:type="spellEnd"/>
    </w:p>
    <w:p w14:paraId="2C898982" w14:textId="77777777" w:rsidR="00876D55" w:rsidRPr="00F06C39" w:rsidRDefault="008A77DE">
      <w:pPr>
        <w:snapToGrid w:val="0"/>
        <w:jc w:val="center"/>
        <w:rPr>
          <w:rFonts w:cs="Times New Roman"/>
          <w:sz w:val="20"/>
          <w:szCs w:val="20"/>
        </w:rPr>
      </w:pPr>
      <w:r w:rsidRPr="00F06C39">
        <w:rPr>
          <w:rFonts w:cs="Times New Roman"/>
          <w:sz w:val="20"/>
          <w:szCs w:val="20"/>
        </w:rPr>
        <w:t>Figure: TRP monostatic (coordinated sensing) sensing CDF with (</w:t>
      </w:r>
      <w:proofErr w:type="spellStart"/>
      <w:r w:rsidRPr="00F06C39">
        <w:rPr>
          <w:rFonts w:cs="Times New Roman"/>
          <w:sz w:val="20"/>
          <w:szCs w:val="20"/>
        </w:rPr>
        <w:t>M,N,P,Mg,Ng;Mp,Np</w:t>
      </w:r>
      <w:proofErr w:type="spellEnd"/>
      <w:r w:rsidRPr="00F06C39">
        <w:rPr>
          <w:rFonts w:cs="Times New Roman"/>
          <w:sz w:val="20"/>
          <w:szCs w:val="20"/>
        </w:rPr>
        <w:t>)=(16,16,1,1,1,1,1)</w:t>
      </w:r>
    </w:p>
    <w:p w14:paraId="336D1306" w14:textId="77777777" w:rsidR="00876D55" w:rsidRPr="00F06C39" w:rsidRDefault="008A77DE">
      <w:pPr>
        <w:snapToGrid w:val="0"/>
        <w:jc w:val="center"/>
        <w:rPr>
          <w:rFonts w:cs="Times New Roman"/>
          <w:sz w:val="20"/>
          <w:szCs w:val="20"/>
        </w:rPr>
      </w:pPr>
      <w:r w:rsidRPr="00F06C39">
        <w:rPr>
          <w:rFonts w:cs="Times New Roman"/>
          <w:sz w:val="20"/>
          <w:szCs w:val="20"/>
        </w:rPr>
        <w:t>Table: TRP monostatic (coordinated sensing) sensing results</w:t>
      </w:r>
    </w:p>
    <w:tbl>
      <w:tblPr>
        <w:tblStyle w:val="af5"/>
        <w:tblW w:w="5559" w:type="dxa"/>
        <w:jc w:val="center"/>
        <w:tblLayout w:type="fixed"/>
        <w:tblLook w:val="04A0" w:firstRow="1" w:lastRow="0" w:firstColumn="1" w:lastColumn="0" w:noHBand="0" w:noVBand="1"/>
      </w:tblPr>
      <w:tblGrid>
        <w:gridCol w:w="1384"/>
        <w:gridCol w:w="1333"/>
        <w:gridCol w:w="1421"/>
        <w:gridCol w:w="1421"/>
      </w:tblGrid>
      <w:tr w:rsidR="00876D55" w14:paraId="79C96B6D" w14:textId="77777777" w:rsidTr="00F06C39">
        <w:trPr>
          <w:trHeight w:val="1216"/>
          <w:jc w:val="center"/>
        </w:trPr>
        <w:tc>
          <w:tcPr>
            <w:tcW w:w="1384" w:type="dxa"/>
            <w:vAlign w:val="center"/>
          </w:tcPr>
          <w:p w14:paraId="7A7F9C00" w14:textId="77777777" w:rsidR="00876D55" w:rsidRPr="00F06C39" w:rsidRDefault="008A77DE">
            <w:pPr>
              <w:snapToGrid w:val="0"/>
              <w:jc w:val="center"/>
              <w:rPr>
                <w:rFonts w:cs="Times New Roman"/>
                <w:sz w:val="20"/>
                <w:szCs w:val="20"/>
              </w:rPr>
            </w:pPr>
            <w:r w:rsidRPr="00F06C39">
              <w:rPr>
                <w:rFonts w:cs="Times New Roman"/>
                <w:sz w:val="20"/>
                <w:szCs w:val="20"/>
              </w:rPr>
              <w:t>Horizontal localization accuracy</w:t>
            </w:r>
          </w:p>
        </w:tc>
        <w:tc>
          <w:tcPr>
            <w:tcW w:w="1333" w:type="dxa"/>
            <w:vAlign w:val="center"/>
          </w:tcPr>
          <w:p w14:paraId="0C90AF81" w14:textId="77777777" w:rsidR="00876D55" w:rsidRPr="00F06C39" w:rsidRDefault="008A77DE">
            <w:pPr>
              <w:snapToGrid w:val="0"/>
              <w:jc w:val="center"/>
              <w:rPr>
                <w:rFonts w:cs="Times New Roman"/>
                <w:sz w:val="20"/>
                <w:szCs w:val="20"/>
              </w:rPr>
            </w:pPr>
            <w:r w:rsidRPr="00F06C39">
              <w:rPr>
                <w:rFonts w:cs="Times New Roman"/>
                <w:sz w:val="20"/>
                <w:szCs w:val="20"/>
              </w:rPr>
              <w:t>Vertical localization accuracy</w:t>
            </w:r>
          </w:p>
        </w:tc>
        <w:tc>
          <w:tcPr>
            <w:tcW w:w="1421" w:type="dxa"/>
            <w:vAlign w:val="center"/>
          </w:tcPr>
          <w:p w14:paraId="25A992F3" w14:textId="77777777" w:rsidR="00876D55" w:rsidRPr="00F06C39" w:rsidRDefault="008A77DE">
            <w:pPr>
              <w:snapToGrid w:val="0"/>
              <w:jc w:val="center"/>
              <w:rPr>
                <w:rFonts w:cs="Times New Roman"/>
                <w:sz w:val="20"/>
                <w:szCs w:val="20"/>
              </w:rPr>
            </w:pPr>
            <w:r w:rsidRPr="00F06C39">
              <w:rPr>
                <w:rFonts w:cs="Times New Roman"/>
                <w:sz w:val="20"/>
                <w:szCs w:val="20"/>
              </w:rPr>
              <w:t>Velocity accuracy</w:t>
            </w:r>
          </w:p>
        </w:tc>
        <w:tc>
          <w:tcPr>
            <w:tcW w:w="1421" w:type="dxa"/>
            <w:vAlign w:val="center"/>
          </w:tcPr>
          <w:p w14:paraId="757738C2" w14:textId="77777777" w:rsidR="00876D55" w:rsidRPr="00F06C39" w:rsidRDefault="008A77DE">
            <w:pPr>
              <w:snapToGrid w:val="0"/>
              <w:jc w:val="center"/>
              <w:rPr>
                <w:rFonts w:cs="Times New Roman"/>
                <w:sz w:val="20"/>
                <w:szCs w:val="20"/>
              </w:rPr>
            </w:pPr>
            <w:r w:rsidRPr="00F06C39">
              <w:rPr>
                <w:rFonts w:cs="Times New Roman"/>
                <w:sz w:val="20"/>
                <w:szCs w:val="20"/>
              </w:rPr>
              <w:t>Detection probability</w:t>
            </w:r>
          </w:p>
        </w:tc>
      </w:tr>
      <w:tr w:rsidR="00876D55" w14:paraId="155B44BB" w14:textId="77777777" w:rsidTr="00F06C39">
        <w:trPr>
          <w:trHeight w:val="342"/>
          <w:jc w:val="center"/>
        </w:trPr>
        <w:tc>
          <w:tcPr>
            <w:tcW w:w="1384" w:type="dxa"/>
            <w:vAlign w:val="center"/>
          </w:tcPr>
          <w:p w14:paraId="3F2B25AA" w14:textId="77777777" w:rsidR="00876D55" w:rsidRPr="00F06C39" w:rsidRDefault="008A77DE">
            <w:pPr>
              <w:snapToGrid w:val="0"/>
              <w:jc w:val="center"/>
              <w:rPr>
                <w:rFonts w:cs="Times New Roman"/>
                <w:sz w:val="20"/>
                <w:szCs w:val="20"/>
              </w:rPr>
            </w:pPr>
            <w:r w:rsidRPr="00F06C39">
              <w:rPr>
                <w:rFonts w:cs="Times New Roman"/>
                <w:sz w:val="20"/>
                <w:szCs w:val="20"/>
              </w:rPr>
              <w:t>0.850</w:t>
            </w:r>
          </w:p>
        </w:tc>
        <w:tc>
          <w:tcPr>
            <w:tcW w:w="1333" w:type="dxa"/>
            <w:vAlign w:val="center"/>
          </w:tcPr>
          <w:p w14:paraId="7550C857" w14:textId="77777777" w:rsidR="00876D55" w:rsidRPr="00F06C39" w:rsidRDefault="008A77DE">
            <w:pPr>
              <w:snapToGrid w:val="0"/>
              <w:jc w:val="center"/>
              <w:rPr>
                <w:rFonts w:cs="Times New Roman"/>
                <w:sz w:val="20"/>
                <w:szCs w:val="20"/>
              </w:rPr>
            </w:pPr>
            <w:r w:rsidRPr="00F06C39">
              <w:rPr>
                <w:rFonts w:cs="Times New Roman"/>
                <w:sz w:val="20"/>
                <w:szCs w:val="20"/>
              </w:rPr>
              <w:t>0.565</w:t>
            </w:r>
          </w:p>
        </w:tc>
        <w:tc>
          <w:tcPr>
            <w:tcW w:w="1421" w:type="dxa"/>
            <w:vAlign w:val="center"/>
          </w:tcPr>
          <w:p w14:paraId="3722ACCA" w14:textId="77777777" w:rsidR="00876D55" w:rsidRPr="00F06C39" w:rsidRDefault="008A77DE">
            <w:pPr>
              <w:snapToGrid w:val="0"/>
              <w:jc w:val="center"/>
              <w:rPr>
                <w:rFonts w:cs="Times New Roman"/>
                <w:sz w:val="20"/>
                <w:szCs w:val="20"/>
              </w:rPr>
            </w:pPr>
            <w:r w:rsidRPr="00F06C39">
              <w:rPr>
                <w:rFonts w:cs="Times New Roman"/>
                <w:sz w:val="20"/>
                <w:szCs w:val="20"/>
              </w:rPr>
              <w:t>0.332m/s</w:t>
            </w:r>
          </w:p>
        </w:tc>
        <w:tc>
          <w:tcPr>
            <w:tcW w:w="1421" w:type="dxa"/>
            <w:vAlign w:val="center"/>
          </w:tcPr>
          <w:p w14:paraId="484B8C89" w14:textId="77777777" w:rsidR="00876D55" w:rsidRPr="00F06C39" w:rsidRDefault="008A77DE">
            <w:pPr>
              <w:snapToGrid w:val="0"/>
              <w:jc w:val="center"/>
              <w:rPr>
                <w:rFonts w:cs="Times New Roman"/>
                <w:sz w:val="20"/>
                <w:szCs w:val="20"/>
              </w:rPr>
            </w:pPr>
            <w:r w:rsidRPr="00F06C39">
              <w:rPr>
                <w:rFonts w:cs="Times New Roman"/>
                <w:sz w:val="20"/>
                <w:szCs w:val="20"/>
              </w:rPr>
              <w:t>98.0%</w:t>
            </w:r>
          </w:p>
        </w:tc>
      </w:tr>
    </w:tbl>
    <w:p w14:paraId="69686F0E" w14:textId="77777777" w:rsidR="00876D55" w:rsidRPr="00F06C39" w:rsidRDefault="00876D55" w:rsidP="00F06C39">
      <w:pPr>
        <w:snapToGrid w:val="0"/>
        <w:rPr>
          <w:rFonts w:cs="Times New Roman"/>
          <w:sz w:val="20"/>
          <w:szCs w:val="20"/>
        </w:rPr>
      </w:pPr>
    </w:p>
    <w:sectPr w:rsidR="00876D55" w:rsidRPr="00F06C3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61B42" w14:textId="77777777" w:rsidR="00C50BAD" w:rsidRDefault="00C50BAD" w:rsidP="008A77DE">
      <w:r>
        <w:separator/>
      </w:r>
    </w:p>
  </w:endnote>
  <w:endnote w:type="continuationSeparator" w:id="0">
    <w:p w14:paraId="0A7FA99E" w14:textId="77777777" w:rsidR="00C50BAD" w:rsidRDefault="00C50BAD" w:rsidP="008A7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NimbusRomNo9L-Regu">
    <w:altName w:val="Times New Roman"/>
    <w:charset w:val="00"/>
    <w:family w:val="roman"/>
    <w:pitch w:val="default"/>
  </w:font>
  <w:font w:name="rtxr">
    <w:altName w:val="Times New Roman"/>
    <w:charset w:val="00"/>
    <w:family w:val="roman"/>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t">
    <w:altName w:val="Segoe Print"/>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UI 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2332B" w14:textId="77777777" w:rsidR="00C50BAD" w:rsidRDefault="00C50BAD" w:rsidP="008A77DE">
      <w:r>
        <w:separator/>
      </w:r>
    </w:p>
  </w:footnote>
  <w:footnote w:type="continuationSeparator" w:id="0">
    <w:p w14:paraId="17653B6D" w14:textId="77777777" w:rsidR="00C50BAD" w:rsidRDefault="00C50BAD" w:rsidP="008A77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8C0DCEB"/>
    <w:multiLevelType w:val="singleLevel"/>
    <w:tmpl w:val="98C0DCEB"/>
    <w:lvl w:ilvl="0">
      <w:start w:val="1"/>
      <w:numFmt w:val="decimal"/>
      <w:suff w:val="space"/>
      <w:lvlText w:val="[%1]"/>
      <w:lvlJc w:val="left"/>
      <w:rPr>
        <w:sz w:val="20"/>
        <w:szCs w:val="20"/>
      </w:rPr>
    </w:lvl>
  </w:abstractNum>
  <w:abstractNum w:abstractNumId="1" w15:restartNumberingAfterBreak="0">
    <w:nsid w:val="16F27B6A"/>
    <w:multiLevelType w:val="multilevel"/>
    <w:tmpl w:val="16F27B6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34EE5658"/>
    <w:multiLevelType w:val="multilevel"/>
    <w:tmpl w:val="34EE565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379455B4"/>
    <w:multiLevelType w:val="hybridMultilevel"/>
    <w:tmpl w:val="31F86172"/>
    <w:lvl w:ilvl="0" w:tplc="40E4C7FE">
      <w:start w:val="1"/>
      <w:numFmt w:val="bullet"/>
      <w:lvlText w:val=""/>
      <w:lvlJc w:val="left"/>
      <w:pPr>
        <w:ind w:left="420" w:hanging="420"/>
      </w:pPr>
      <w:rPr>
        <w:rFonts w:ascii="Wingdings" w:hAnsi="Wingdings" w:hint="default"/>
      </w:rPr>
    </w:lvl>
    <w:lvl w:ilvl="1" w:tplc="40E4C7F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45516C52"/>
    <w:multiLevelType w:val="hybridMultilevel"/>
    <w:tmpl w:val="D326CFB2"/>
    <w:lvl w:ilvl="0" w:tplc="40E4C7FE">
      <w:start w:val="1"/>
      <w:numFmt w:val="bullet"/>
      <w:lvlText w:val=""/>
      <w:lvlJc w:val="left"/>
      <w:pPr>
        <w:ind w:left="420" w:hanging="420"/>
      </w:pPr>
      <w:rPr>
        <w:rFonts w:ascii="Wingdings" w:hAnsi="Wingdings" w:hint="default"/>
      </w:rPr>
    </w:lvl>
    <w:lvl w:ilvl="1" w:tplc="D8C46B7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E872652"/>
    <w:multiLevelType w:val="multilevel"/>
    <w:tmpl w:val="5E872652"/>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62A29CC"/>
    <w:multiLevelType w:val="hybridMultilevel"/>
    <w:tmpl w:val="753ABDA0"/>
    <w:lvl w:ilvl="0" w:tplc="40E4C7F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D900757"/>
    <w:multiLevelType w:val="multilevel"/>
    <w:tmpl w:val="6D900757"/>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16cid:durableId="1683125702">
    <w:abstractNumId w:val="4"/>
  </w:num>
  <w:num w:numId="2" w16cid:durableId="276570635">
    <w:abstractNumId w:val="8"/>
  </w:num>
  <w:num w:numId="3" w16cid:durableId="1915309901">
    <w:abstractNumId w:val="1"/>
  </w:num>
  <w:num w:numId="4" w16cid:durableId="853110672">
    <w:abstractNumId w:val="6"/>
  </w:num>
  <w:num w:numId="5" w16cid:durableId="1271619737">
    <w:abstractNumId w:val="0"/>
  </w:num>
  <w:num w:numId="6" w16cid:durableId="553471939">
    <w:abstractNumId w:val="2"/>
  </w:num>
  <w:num w:numId="7" w16cid:durableId="1777479841">
    <w:abstractNumId w:val="7"/>
  </w:num>
  <w:num w:numId="8" w16cid:durableId="494731265">
    <w:abstractNumId w:val="5"/>
  </w:num>
  <w:num w:numId="9" w16cid:durableId="20657901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linkStyles/>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DFF"/>
    <w:rsid w:val="00004F66"/>
    <w:rsid w:val="00005F34"/>
    <w:rsid w:val="000065E7"/>
    <w:rsid w:val="000069CB"/>
    <w:rsid w:val="00006FDF"/>
    <w:rsid w:val="0000708A"/>
    <w:rsid w:val="0000719E"/>
    <w:rsid w:val="0000723B"/>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2FE"/>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6FF"/>
    <w:rsid w:val="00042CEE"/>
    <w:rsid w:val="00042DFE"/>
    <w:rsid w:val="000430A6"/>
    <w:rsid w:val="000433DD"/>
    <w:rsid w:val="000437D2"/>
    <w:rsid w:val="00043815"/>
    <w:rsid w:val="000447EE"/>
    <w:rsid w:val="00044D3E"/>
    <w:rsid w:val="0004503D"/>
    <w:rsid w:val="00045170"/>
    <w:rsid w:val="000452C5"/>
    <w:rsid w:val="000452F9"/>
    <w:rsid w:val="000455B8"/>
    <w:rsid w:val="000456DE"/>
    <w:rsid w:val="00045931"/>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60C"/>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7E5"/>
    <w:rsid w:val="00077898"/>
    <w:rsid w:val="000778E0"/>
    <w:rsid w:val="000808A6"/>
    <w:rsid w:val="00080A12"/>
    <w:rsid w:val="00081024"/>
    <w:rsid w:val="00081073"/>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419"/>
    <w:rsid w:val="00091653"/>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2F3"/>
    <w:rsid w:val="000B03A9"/>
    <w:rsid w:val="000B0A66"/>
    <w:rsid w:val="000B0A7F"/>
    <w:rsid w:val="000B0DFE"/>
    <w:rsid w:val="000B198C"/>
    <w:rsid w:val="000B1FD7"/>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1AD9"/>
    <w:rsid w:val="000C22E1"/>
    <w:rsid w:val="000C2504"/>
    <w:rsid w:val="000C28E3"/>
    <w:rsid w:val="000C2D07"/>
    <w:rsid w:val="000C346F"/>
    <w:rsid w:val="000C3DBB"/>
    <w:rsid w:val="000C45FD"/>
    <w:rsid w:val="000C4E71"/>
    <w:rsid w:val="000C513B"/>
    <w:rsid w:val="000C5A5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CA9"/>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569"/>
    <w:rsid w:val="000F5A49"/>
    <w:rsid w:val="000F62A3"/>
    <w:rsid w:val="000F6969"/>
    <w:rsid w:val="000F6E42"/>
    <w:rsid w:val="000F77EA"/>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479E"/>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282E"/>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EA3"/>
    <w:rsid w:val="001338E2"/>
    <w:rsid w:val="00134041"/>
    <w:rsid w:val="00134091"/>
    <w:rsid w:val="00134309"/>
    <w:rsid w:val="00134406"/>
    <w:rsid w:val="0013568D"/>
    <w:rsid w:val="0013598B"/>
    <w:rsid w:val="00135B09"/>
    <w:rsid w:val="00136167"/>
    <w:rsid w:val="001366B0"/>
    <w:rsid w:val="00136CBF"/>
    <w:rsid w:val="00136F57"/>
    <w:rsid w:val="001372E1"/>
    <w:rsid w:val="001373D9"/>
    <w:rsid w:val="00137807"/>
    <w:rsid w:val="00137C84"/>
    <w:rsid w:val="00137D78"/>
    <w:rsid w:val="00140140"/>
    <w:rsid w:val="00140B34"/>
    <w:rsid w:val="00141644"/>
    <w:rsid w:val="00141B12"/>
    <w:rsid w:val="00141B7B"/>
    <w:rsid w:val="00141BAC"/>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4D0"/>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68A"/>
    <w:rsid w:val="00161883"/>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6B9B"/>
    <w:rsid w:val="001670EA"/>
    <w:rsid w:val="001672EB"/>
    <w:rsid w:val="001674A0"/>
    <w:rsid w:val="001676E4"/>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934"/>
    <w:rsid w:val="001942DB"/>
    <w:rsid w:val="0019461B"/>
    <w:rsid w:val="00194B45"/>
    <w:rsid w:val="0019597A"/>
    <w:rsid w:val="00195BE2"/>
    <w:rsid w:val="00196115"/>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496"/>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677B"/>
    <w:rsid w:val="001E67A6"/>
    <w:rsid w:val="001E6CF5"/>
    <w:rsid w:val="001E7244"/>
    <w:rsid w:val="001E729E"/>
    <w:rsid w:val="001E766E"/>
    <w:rsid w:val="001E7990"/>
    <w:rsid w:val="001E7AC0"/>
    <w:rsid w:val="001F1363"/>
    <w:rsid w:val="001F1EFE"/>
    <w:rsid w:val="001F1F1A"/>
    <w:rsid w:val="001F2A47"/>
    <w:rsid w:val="001F2E2C"/>
    <w:rsid w:val="001F3096"/>
    <w:rsid w:val="001F3227"/>
    <w:rsid w:val="001F3D75"/>
    <w:rsid w:val="001F437E"/>
    <w:rsid w:val="001F454A"/>
    <w:rsid w:val="001F4A13"/>
    <w:rsid w:val="001F4FCC"/>
    <w:rsid w:val="001F4FD1"/>
    <w:rsid w:val="001F5019"/>
    <w:rsid w:val="001F5478"/>
    <w:rsid w:val="001F6653"/>
    <w:rsid w:val="001F6DE9"/>
    <w:rsid w:val="001F6EFC"/>
    <w:rsid w:val="001F720D"/>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73C"/>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649"/>
    <w:rsid w:val="0024471D"/>
    <w:rsid w:val="0024478E"/>
    <w:rsid w:val="002447E7"/>
    <w:rsid w:val="00244BA8"/>
    <w:rsid w:val="00244DA7"/>
    <w:rsid w:val="0024530E"/>
    <w:rsid w:val="00245F29"/>
    <w:rsid w:val="002461D1"/>
    <w:rsid w:val="002462D2"/>
    <w:rsid w:val="00246F35"/>
    <w:rsid w:val="002472A0"/>
    <w:rsid w:val="002474BC"/>
    <w:rsid w:val="00247A2E"/>
    <w:rsid w:val="002502B6"/>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185"/>
    <w:rsid w:val="00270387"/>
    <w:rsid w:val="00270C5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5F6"/>
    <w:rsid w:val="0027465C"/>
    <w:rsid w:val="002746BD"/>
    <w:rsid w:val="00274874"/>
    <w:rsid w:val="00274AC1"/>
    <w:rsid w:val="00275AC6"/>
    <w:rsid w:val="00275CE5"/>
    <w:rsid w:val="00275FEA"/>
    <w:rsid w:val="002768EF"/>
    <w:rsid w:val="00276AA2"/>
    <w:rsid w:val="00276E14"/>
    <w:rsid w:val="0027780A"/>
    <w:rsid w:val="00277836"/>
    <w:rsid w:val="00277C11"/>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777"/>
    <w:rsid w:val="002878F5"/>
    <w:rsid w:val="00287B58"/>
    <w:rsid w:val="00287FFD"/>
    <w:rsid w:val="0029042E"/>
    <w:rsid w:val="002906E7"/>
    <w:rsid w:val="002907BA"/>
    <w:rsid w:val="002910EE"/>
    <w:rsid w:val="0029170E"/>
    <w:rsid w:val="00291EC7"/>
    <w:rsid w:val="002927DE"/>
    <w:rsid w:val="00292908"/>
    <w:rsid w:val="00292B5F"/>
    <w:rsid w:val="00293038"/>
    <w:rsid w:val="00293688"/>
    <w:rsid w:val="002947BB"/>
    <w:rsid w:val="00294B67"/>
    <w:rsid w:val="00294E8F"/>
    <w:rsid w:val="00295FE5"/>
    <w:rsid w:val="00296DC9"/>
    <w:rsid w:val="00297370"/>
    <w:rsid w:val="00297BFB"/>
    <w:rsid w:val="00297CDF"/>
    <w:rsid w:val="002A00D4"/>
    <w:rsid w:val="002A00DD"/>
    <w:rsid w:val="002A0393"/>
    <w:rsid w:val="002A0A2F"/>
    <w:rsid w:val="002A0E03"/>
    <w:rsid w:val="002A0FD2"/>
    <w:rsid w:val="002A14C6"/>
    <w:rsid w:val="002A1A31"/>
    <w:rsid w:val="002A1B9C"/>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B39"/>
    <w:rsid w:val="002A6F00"/>
    <w:rsid w:val="002A7275"/>
    <w:rsid w:val="002A73F2"/>
    <w:rsid w:val="002A7608"/>
    <w:rsid w:val="002A7EFD"/>
    <w:rsid w:val="002A7F4E"/>
    <w:rsid w:val="002B034A"/>
    <w:rsid w:val="002B072A"/>
    <w:rsid w:val="002B132E"/>
    <w:rsid w:val="002B1398"/>
    <w:rsid w:val="002B19F1"/>
    <w:rsid w:val="002B1AB4"/>
    <w:rsid w:val="002B1DA0"/>
    <w:rsid w:val="002B2813"/>
    <w:rsid w:val="002B2FC4"/>
    <w:rsid w:val="002B3332"/>
    <w:rsid w:val="002B3404"/>
    <w:rsid w:val="002B35DB"/>
    <w:rsid w:val="002B3642"/>
    <w:rsid w:val="002B3988"/>
    <w:rsid w:val="002B3BC1"/>
    <w:rsid w:val="002B3ECB"/>
    <w:rsid w:val="002B4816"/>
    <w:rsid w:val="002B4C8C"/>
    <w:rsid w:val="002B4F70"/>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0C23"/>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DDC"/>
    <w:rsid w:val="002D5EED"/>
    <w:rsid w:val="002D5FB9"/>
    <w:rsid w:val="002D6230"/>
    <w:rsid w:val="002D6310"/>
    <w:rsid w:val="002D650C"/>
    <w:rsid w:val="002D6962"/>
    <w:rsid w:val="002D69D4"/>
    <w:rsid w:val="002D701B"/>
    <w:rsid w:val="002D717F"/>
    <w:rsid w:val="002D7417"/>
    <w:rsid w:val="002E03A9"/>
    <w:rsid w:val="002E054C"/>
    <w:rsid w:val="002E0814"/>
    <w:rsid w:val="002E1AF4"/>
    <w:rsid w:val="002E1C71"/>
    <w:rsid w:val="002E1D5A"/>
    <w:rsid w:val="002E1DA5"/>
    <w:rsid w:val="002E2C8C"/>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66"/>
    <w:rsid w:val="002F72DA"/>
    <w:rsid w:val="002F7FF6"/>
    <w:rsid w:val="0030017A"/>
    <w:rsid w:val="003002F9"/>
    <w:rsid w:val="0030043E"/>
    <w:rsid w:val="00300EF5"/>
    <w:rsid w:val="00301089"/>
    <w:rsid w:val="00301111"/>
    <w:rsid w:val="0030128C"/>
    <w:rsid w:val="00301AA6"/>
    <w:rsid w:val="00301D6C"/>
    <w:rsid w:val="0030279D"/>
    <w:rsid w:val="00302CF8"/>
    <w:rsid w:val="00302D7A"/>
    <w:rsid w:val="0030330E"/>
    <w:rsid w:val="00303A07"/>
    <w:rsid w:val="00303CE2"/>
    <w:rsid w:val="00303EAB"/>
    <w:rsid w:val="0030412A"/>
    <w:rsid w:val="00304565"/>
    <w:rsid w:val="003045E6"/>
    <w:rsid w:val="003048D7"/>
    <w:rsid w:val="00304CE2"/>
    <w:rsid w:val="003056C7"/>
    <w:rsid w:val="00305929"/>
    <w:rsid w:val="00305AAA"/>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29F"/>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E46"/>
    <w:rsid w:val="003344CA"/>
    <w:rsid w:val="0033464F"/>
    <w:rsid w:val="00334A08"/>
    <w:rsid w:val="00334AA0"/>
    <w:rsid w:val="00334C64"/>
    <w:rsid w:val="00334FCF"/>
    <w:rsid w:val="003350C7"/>
    <w:rsid w:val="00335473"/>
    <w:rsid w:val="00335F0B"/>
    <w:rsid w:val="0033619B"/>
    <w:rsid w:val="003368AE"/>
    <w:rsid w:val="00336B61"/>
    <w:rsid w:val="003370DD"/>
    <w:rsid w:val="0033715B"/>
    <w:rsid w:val="00337B89"/>
    <w:rsid w:val="00340EC0"/>
    <w:rsid w:val="0034111C"/>
    <w:rsid w:val="003411BB"/>
    <w:rsid w:val="003412C8"/>
    <w:rsid w:val="00341AF3"/>
    <w:rsid w:val="00341B77"/>
    <w:rsid w:val="0034222E"/>
    <w:rsid w:val="00342381"/>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995"/>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0E45"/>
    <w:rsid w:val="00371255"/>
    <w:rsid w:val="003716F5"/>
    <w:rsid w:val="0037170D"/>
    <w:rsid w:val="0037189D"/>
    <w:rsid w:val="00371C3B"/>
    <w:rsid w:val="00371D84"/>
    <w:rsid w:val="00372595"/>
    <w:rsid w:val="00372613"/>
    <w:rsid w:val="00372779"/>
    <w:rsid w:val="00372E81"/>
    <w:rsid w:val="00372FCC"/>
    <w:rsid w:val="00373124"/>
    <w:rsid w:val="0037381B"/>
    <w:rsid w:val="00373AE2"/>
    <w:rsid w:val="00373F2B"/>
    <w:rsid w:val="00374862"/>
    <w:rsid w:val="003748B1"/>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5281"/>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4A49"/>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821"/>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95D"/>
    <w:rsid w:val="003B206A"/>
    <w:rsid w:val="003B2AC8"/>
    <w:rsid w:val="003B32B9"/>
    <w:rsid w:val="003B39A6"/>
    <w:rsid w:val="003B4975"/>
    <w:rsid w:val="003B4CA6"/>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1AA"/>
    <w:rsid w:val="003C2408"/>
    <w:rsid w:val="003C2834"/>
    <w:rsid w:val="003C2925"/>
    <w:rsid w:val="003C2A14"/>
    <w:rsid w:val="003C2CC7"/>
    <w:rsid w:val="003C303C"/>
    <w:rsid w:val="003C373B"/>
    <w:rsid w:val="003C3788"/>
    <w:rsid w:val="003C447D"/>
    <w:rsid w:val="003C49E6"/>
    <w:rsid w:val="003C5463"/>
    <w:rsid w:val="003C5ADD"/>
    <w:rsid w:val="003C60FA"/>
    <w:rsid w:val="003C6ACA"/>
    <w:rsid w:val="003C6BB3"/>
    <w:rsid w:val="003C6CA4"/>
    <w:rsid w:val="003C6E49"/>
    <w:rsid w:val="003C7142"/>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BCB"/>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0DA6"/>
    <w:rsid w:val="00420ED4"/>
    <w:rsid w:val="00421132"/>
    <w:rsid w:val="00421290"/>
    <w:rsid w:val="004213ED"/>
    <w:rsid w:val="00421845"/>
    <w:rsid w:val="004218CE"/>
    <w:rsid w:val="00421B79"/>
    <w:rsid w:val="004220D1"/>
    <w:rsid w:val="0042232E"/>
    <w:rsid w:val="004224A8"/>
    <w:rsid w:val="00422E0A"/>
    <w:rsid w:val="00423AEC"/>
    <w:rsid w:val="00423D92"/>
    <w:rsid w:val="004248EA"/>
    <w:rsid w:val="00424FA7"/>
    <w:rsid w:val="00424FCB"/>
    <w:rsid w:val="00424FEC"/>
    <w:rsid w:val="004252E3"/>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AD0"/>
    <w:rsid w:val="00434B64"/>
    <w:rsid w:val="00435596"/>
    <w:rsid w:val="004355DA"/>
    <w:rsid w:val="0043563F"/>
    <w:rsid w:val="00435796"/>
    <w:rsid w:val="004357B9"/>
    <w:rsid w:val="0043615B"/>
    <w:rsid w:val="00436950"/>
    <w:rsid w:val="00436A37"/>
    <w:rsid w:val="004372CE"/>
    <w:rsid w:val="004373B9"/>
    <w:rsid w:val="00437DBB"/>
    <w:rsid w:val="00437DDB"/>
    <w:rsid w:val="00440604"/>
    <w:rsid w:val="0044098B"/>
    <w:rsid w:val="0044120D"/>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86C"/>
    <w:rsid w:val="00446C4B"/>
    <w:rsid w:val="004471AF"/>
    <w:rsid w:val="00447371"/>
    <w:rsid w:val="0044761A"/>
    <w:rsid w:val="00447D98"/>
    <w:rsid w:val="00447F06"/>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9CB"/>
    <w:rsid w:val="00462BBA"/>
    <w:rsid w:val="00463020"/>
    <w:rsid w:val="004631E8"/>
    <w:rsid w:val="00463352"/>
    <w:rsid w:val="004636DA"/>
    <w:rsid w:val="00463734"/>
    <w:rsid w:val="00463806"/>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1B82"/>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6DC"/>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C78"/>
    <w:rsid w:val="004A3EA4"/>
    <w:rsid w:val="004A438D"/>
    <w:rsid w:val="004A45F3"/>
    <w:rsid w:val="004A474E"/>
    <w:rsid w:val="004A4EE7"/>
    <w:rsid w:val="004A55C5"/>
    <w:rsid w:val="004A5997"/>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DC"/>
    <w:rsid w:val="004D1489"/>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90E"/>
    <w:rsid w:val="004E1B3E"/>
    <w:rsid w:val="004E1D09"/>
    <w:rsid w:val="004E1DA7"/>
    <w:rsid w:val="004E2242"/>
    <w:rsid w:val="004E27A5"/>
    <w:rsid w:val="004E2F4A"/>
    <w:rsid w:val="004E32F4"/>
    <w:rsid w:val="004E3899"/>
    <w:rsid w:val="004E4787"/>
    <w:rsid w:val="004E4D6D"/>
    <w:rsid w:val="004E4F33"/>
    <w:rsid w:val="004E4FAA"/>
    <w:rsid w:val="004E546B"/>
    <w:rsid w:val="004E5521"/>
    <w:rsid w:val="004E594B"/>
    <w:rsid w:val="004E604B"/>
    <w:rsid w:val="004E6579"/>
    <w:rsid w:val="004E6F16"/>
    <w:rsid w:val="004E72F9"/>
    <w:rsid w:val="004F00EC"/>
    <w:rsid w:val="004F02D8"/>
    <w:rsid w:val="004F0D2A"/>
    <w:rsid w:val="004F0DB4"/>
    <w:rsid w:val="004F1097"/>
    <w:rsid w:val="004F1321"/>
    <w:rsid w:val="004F1A95"/>
    <w:rsid w:val="004F1EB9"/>
    <w:rsid w:val="004F2ADF"/>
    <w:rsid w:val="004F3489"/>
    <w:rsid w:val="004F4ED7"/>
    <w:rsid w:val="004F5025"/>
    <w:rsid w:val="004F53B8"/>
    <w:rsid w:val="004F5835"/>
    <w:rsid w:val="004F5A41"/>
    <w:rsid w:val="004F5B88"/>
    <w:rsid w:val="004F5C7E"/>
    <w:rsid w:val="004F5EBA"/>
    <w:rsid w:val="004F64EC"/>
    <w:rsid w:val="004F6C3E"/>
    <w:rsid w:val="004F6D18"/>
    <w:rsid w:val="004F72FD"/>
    <w:rsid w:val="004F76E2"/>
    <w:rsid w:val="004F7890"/>
    <w:rsid w:val="00500815"/>
    <w:rsid w:val="00500987"/>
    <w:rsid w:val="00501B1E"/>
    <w:rsid w:val="00502410"/>
    <w:rsid w:val="00503196"/>
    <w:rsid w:val="005032CB"/>
    <w:rsid w:val="00503583"/>
    <w:rsid w:val="00503591"/>
    <w:rsid w:val="005036E5"/>
    <w:rsid w:val="00503BB1"/>
    <w:rsid w:val="00503D36"/>
    <w:rsid w:val="00503EDB"/>
    <w:rsid w:val="005040CF"/>
    <w:rsid w:val="0050450B"/>
    <w:rsid w:val="005048AB"/>
    <w:rsid w:val="00504CCA"/>
    <w:rsid w:val="00505670"/>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602"/>
    <w:rsid w:val="00511A13"/>
    <w:rsid w:val="00511EF7"/>
    <w:rsid w:val="005124A4"/>
    <w:rsid w:val="00513BA7"/>
    <w:rsid w:val="0051423C"/>
    <w:rsid w:val="00514261"/>
    <w:rsid w:val="0051487E"/>
    <w:rsid w:val="00514CE5"/>
    <w:rsid w:val="00515ED9"/>
    <w:rsid w:val="005160A0"/>
    <w:rsid w:val="005163EA"/>
    <w:rsid w:val="00516CD7"/>
    <w:rsid w:val="00516D8B"/>
    <w:rsid w:val="00516ED5"/>
    <w:rsid w:val="00516FD9"/>
    <w:rsid w:val="0051723B"/>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CBB"/>
    <w:rsid w:val="00540BBE"/>
    <w:rsid w:val="00540C66"/>
    <w:rsid w:val="00540FF3"/>
    <w:rsid w:val="00541403"/>
    <w:rsid w:val="0054246B"/>
    <w:rsid w:val="005424D2"/>
    <w:rsid w:val="005442D9"/>
    <w:rsid w:val="00544349"/>
    <w:rsid w:val="00544566"/>
    <w:rsid w:val="0054507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25C"/>
    <w:rsid w:val="00550457"/>
    <w:rsid w:val="0055070C"/>
    <w:rsid w:val="00550AEE"/>
    <w:rsid w:val="00550B00"/>
    <w:rsid w:val="00550D9E"/>
    <w:rsid w:val="00550DB6"/>
    <w:rsid w:val="00551213"/>
    <w:rsid w:val="0055139A"/>
    <w:rsid w:val="005514E0"/>
    <w:rsid w:val="005521E6"/>
    <w:rsid w:val="005529C4"/>
    <w:rsid w:val="00552D1B"/>
    <w:rsid w:val="005536AF"/>
    <w:rsid w:val="00553BD6"/>
    <w:rsid w:val="005545CA"/>
    <w:rsid w:val="0055479A"/>
    <w:rsid w:val="00554E08"/>
    <w:rsid w:val="00554E74"/>
    <w:rsid w:val="005552D9"/>
    <w:rsid w:val="005554FF"/>
    <w:rsid w:val="00555AD3"/>
    <w:rsid w:val="00555C78"/>
    <w:rsid w:val="005564E0"/>
    <w:rsid w:val="0055690B"/>
    <w:rsid w:val="00556E05"/>
    <w:rsid w:val="00556F40"/>
    <w:rsid w:val="005603B3"/>
    <w:rsid w:val="00560901"/>
    <w:rsid w:val="00560B38"/>
    <w:rsid w:val="00560B6D"/>
    <w:rsid w:val="00561270"/>
    <w:rsid w:val="005612EE"/>
    <w:rsid w:val="00561507"/>
    <w:rsid w:val="0056161E"/>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3EB"/>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85C"/>
    <w:rsid w:val="005919B2"/>
    <w:rsid w:val="00591F58"/>
    <w:rsid w:val="00592244"/>
    <w:rsid w:val="005922B0"/>
    <w:rsid w:val="005927F5"/>
    <w:rsid w:val="00592805"/>
    <w:rsid w:val="00593C8C"/>
    <w:rsid w:val="00593CEF"/>
    <w:rsid w:val="0059429E"/>
    <w:rsid w:val="00594505"/>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0D3"/>
    <w:rsid w:val="005A1296"/>
    <w:rsid w:val="005A138C"/>
    <w:rsid w:val="005A16D7"/>
    <w:rsid w:val="005A1D91"/>
    <w:rsid w:val="005A27C0"/>
    <w:rsid w:val="005A2E71"/>
    <w:rsid w:val="005A33F8"/>
    <w:rsid w:val="005A3CA1"/>
    <w:rsid w:val="005A40C3"/>
    <w:rsid w:val="005A4906"/>
    <w:rsid w:val="005A4CFE"/>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5DA"/>
    <w:rsid w:val="005B37D5"/>
    <w:rsid w:val="005B3843"/>
    <w:rsid w:val="005B4562"/>
    <w:rsid w:val="005B471A"/>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5D2"/>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D9D"/>
    <w:rsid w:val="005F2F39"/>
    <w:rsid w:val="005F352F"/>
    <w:rsid w:val="005F3906"/>
    <w:rsid w:val="005F3BA1"/>
    <w:rsid w:val="005F3EFD"/>
    <w:rsid w:val="005F4595"/>
    <w:rsid w:val="005F4827"/>
    <w:rsid w:val="005F4BFF"/>
    <w:rsid w:val="005F5A73"/>
    <w:rsid w:val="005F5BD6"/>
    <w:rsid w:val="005F5DE8"/>
    <w:rsid w:val="005F6A3C"/>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03E8"/>
    <w:rsid w:val="006110BC"/>
    <w:rsid w:val="00611580"/>
    <w:rsid w:val="006116C4"/>
    <w:rsid w:val="00611717"/>
    <w:rsid w:val="00611F2C"/>
    <w:rsid w:val="0061219B"/>
    <w:rsid w:val="00612425"/>
    <w:rsid w:val="00612A8E"/>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5BB"/>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1F2"/>
    <w:rsid w:val="00636652"/>
    <w:rsid w:val="00636A83"/>
    <w:rsid w:val="00636D20"/>
    <w:rsid w:val="00636D5B"/>
    <w:rsid w:val="00637183"/>
    <w:rsid w:val="0063728F"/>
    <w:rsid w:val="006403BC"/>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5A2"/>
    <w:rsid w:val="00660B4F"/>
    <w:rsid w:val="0066174C"/>
    <w:rsid w:val="006625C1"/>
    <w:rsid w:val="006627E7"/>
    <w:rsid w:val="00662C69"/>
    <w:rsid w:val="00662D5D"/>
    <w:rsid w:val="006635FD"/>
    <w:rsid w:val="006641A3"/>
    <w:rsid w:val="006644F9"/>
    <w:rsid w:val="00664726"/>
    <w:rsid w:val="006648C1"/>
    <w:rsid w:val="00664E8F"/>
    <w:rsid w:val="0066531F"/>
    <w:rsid w:val="00665532"/>
    <w:rsid w:val="00665BBF"/>
    <w:rsid w:val="00665C44"/>
    <w:rsid w:val="006663BF"/>
    <w:rsid w:val="00666447"/>
    <w:rsid w:val="006675BA"/>
    <w:rsid w:val="00667809"/>
    <w:rsid w:val="006679FE"/>
    <w:rsid w:val="00667B0E"/>
    <w:rsid w:val="0067013D"/>
    <w:rsid w:val="0067024D"/>
    <w:rsid w:val="00670694"/>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4C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8D4"/>
    <w:rsid w:val="00680DE0"/>
    <w:rsid w:val="00680FEE"/>
    <w:rsid w:val="00681C67"/>
    <w:rsid w:val="00681DFF"/>
    <w:rsid w:val="006826FC"/>
    <w:rsid w:val="0068272C"/>
    <w:rsid w:val="00682871"/>
    <w:rsid w:val="006828EC"/>
    <w:rsid w:val="00682E8A"/>
    <w:rsid w:val="00683015"/>
    <w:rsid w:val="00683C73"/>
    <w:rsid w:val="006840BB"/>
    <w:rsid w:val="006842EC"/>
    <w:rsid w:val="006844CD"/>
    <w:rsid w:val="0068459C"/>
    <w:rsid w:val="00684D22"/>
    <w:rsid w:val="006853C5"/>
    <w:rsid w:val="00685557"/>
    <w:rsid w:val="00686365"/>
    <w:rsid w:val="0068651A"/>
    <w:rsid w:val="00686A14"/>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968"/>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04C"/>
    <w:rsid w:val="006B23E0"/>
    <w:rsid w:val="006B2A65"/>
    <w:rsid w:val="006B2BEE"/>
    <w:rsid w:val="006B2EDC"/>
    <w:rsid w:val="006B3106"/>
    <w:rsid w:val="006B3406"/>
    <w:rsid w:val="006B3520"/>
    <w:rsid w:val="006B3812"/>
    <w:rsid w:val="006B3A2C"/>
    <w:rsid w:val="006B3ED4"/>
    <w:rsid w:val="006B4156"/>
    <w:rsid w:val="006B415B"/>
    <w:rsid w:val="006B4E8A"/>
    <w:rsid w:val="006B52F2"/>
    <w:rsid w:val="006B5392"/>
    <w:rsid w:val="006B53CA"/>
    <w:rsid w:val="006B561C"/>
    <w:rsid w:val="006B641E"/>
    <w:rsid w:val="006B6FFD"/>
    <w:rsid w:val="006B71B0"/>
    <w:rsid w:val="006B71DD"/>
    <w:rsid w:val="006B7686"/>
    <w:rsid w:val="006B774E"/>
    <w:rsid w:val="006B7996"/>
    <w:rsid w:val="006C036E"/>
    <w:rsid w:val="006C0440"/>
    <w:rsid w:val="006C1208"/>
    <w:rsid w:val="006C16ED"/>
    <w:rsid w:val="006C2020"/>
    <w:rsid w:val="006C28F2"/>
    <w:rsid w:val="006C3587"/>
    <w:rsid w:val="006C37A2"/>
    <w:rsid w:val="006C37DA"/>
    <w:rsid w:val="006C3825"/>
    <w:rsid w:val="006C3CB1"/>
    <w:rsid w:val="006C3EFD"/>
    <w:rsid w:val="006C4905"/>
    <w:rsid w:val="006C4A5D"/>
    <w:rsid w:val="006C4AAF"/>
    <w:rsid w:val="006C54DE"/>
    <w:rsid w:val="006C5522"/>
    <w:rsid w:val="006C5791"/>
    <w:rsid w:val="006C5B9D"/>
    <w:rsid w:val="006C6644"/>
    <w:rsid w:val="006C6834"/>
    <w:rsid w:val="006C6BD9"/>
    <w:rsid w:val="006C7809"/>
    <w:rsid w:val="006C785E"/>
    <w:rsid w:val="006C7A07"/>
    <w:rsid w:val="006C7DBA"/>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42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B0B"/>
    <w:rsid w:val="006E0FDA"/>
    <w:rsid w:val="006E13D1"/>
    <w:rsid w:val="006E1952"/>
    <w:rsid w:val="006E256B"/>
    <w:rsid w:val="006E2809"/>
    <w:rsid w:val="006E2DB5"/>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4A3"/>
    <w:rsid w:val="006F299B"/>
    <w:rsid w:val="006F382C"/>
    <w:rsid w:val="006F39D3"/>
    <w:rsid w:val="006F42ED"/>
    <w:rsid w:val="006F4C8E"/>
    <w:rsid w:val="006F50C1"/>
    <w:rsid w:val="006F5779"/>
    <w:rsid w:val="006F5F5A"/>
    <w:rsid w:val="006F61C2"/>
    <w:rsid w:val="006F6552"/>
    <w:rsid w:val="006F679B"/>
    <w:rsid w:val="006F6DE5"/>
    <w:rsid w:val="006F74AF"/>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60F"/>
    <w:rsid w:val="0071483F"/>
    <w:rsid w:val="00714FE6"/>
    <w:rsid w:val="00715932"/>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667"/>
    <w:rsid w:val="00737691"/>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01"/>
    <w:rsid w:val="00743083"/>
    <w:rsid w:val="007438F4"/>
    <w:rsid w:val="00743F02"/>
    <w:rsid w:val="007440A3"/>
    <w:rsid w:val="007445F4"/>
    <w:rsid w:val="00744B32"/>
    <w:rsid w:val="00744C28"/>
    <w:rsid w:val="00744C54"/>
    <w:rsid w:val="00745595"/>
    <w:rsid w:val="007455B8"/>
    <w:rsid w:val="00745693"/>
    <w:rsid w:val="00745D34"/>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0FC"/>
    <w:rsid w:val="0076413F"/>
    <w:rsid w:val="00764DD1"/>
    <w:rsid w:val="007651BB"/>
    <w:rsid w:val="007658A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472"/>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90378"/>
    <w:rsid w:val="007905D5"/>
    <w:rsid w:val="00790894"/>
    <w:rsid w:val="00791260"/>
    <w:rsid w:val="00791995"/>
    <w:rsid w:val="00791C9B"/>
    <w:rsid w:val="00791D53"/>
    <w:rsid w:val="007920E8"/>
    <w:rsid w:val="00792BF7"/>
    <w:rsid w:val="00793120"/>
    <w:rsid w:val="007931B4"/>
    <w:rsid w:val="00793793"/>
    <w:rsid w:val="00793B5B"/>
    <w:rsid w:val="007940F6"/>
    <w:rsid w:val="0079423D"/>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C1D"/>
    <w:rsid w:val="007A3EE2"/>
    <w:rsid w:val="007A493F"/>
    <w:rsid w:val="007A4B9E"/>
    <w:rsid w:val="007A4C27"/>
    <w:rsid w:val="007A4FCF"/>
    <w:rsid w:val="007A51F0"/>
    <w:rsid w:val="007A5434"/>
    <w:rsid w:val="007A54FB"/>
    <w:rsid w:val="007A5633"/>
    <w:rsid w:val="007A593C"/>
    <w:rsid w:val="007A596D"/>
    <w:rsid w:val="007A5C52"/>
    <w:rsid w:val="007A622C"/>
    <w:rsid w:val="007A6868"/>
    <w:rsid w:val="007A6D08"/>
    <w:rsid w:val="007A6D6A"/>
    <w:rsid w:val="007A6EA1"/>
    <w:rsid w:val="007A6FDB"/>
    <w:rsid w:val="007A7FF4"/>
    <w:rsid w:val="007B0496"/>
    <w:rsid w:val="007B0776"/>
    <w:rsid w:val="007B0F99"/>
    <w:rsid w:val="007B1769"/>
    <w:rsid w:val="007B18C4"/>
    <w:rsid w:val="007B2844"/>
    <w:rsid w:val="007B2EA5"/>
    <w:rsid w:val="007B308F"/>
    <w:rsid w:val="007B3261"/>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13"/>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6EA8"/>
    <w:rsid w:val="007C70E0"/>
    <w:rsid w:val="007C71DC"/>
    <w:rsid w:val="007C79D5"/>
    <w:rsid w:val="007D0275"/>
    <w:rsid w:val="007D0C44"/>
    <w:rsid w:val="007D0D6C"/>
    <w:rsid w:val="007D20AB"/>
    <w:rsid w:val="007D214D"/>
    <w:rsid w:val="007D255F"/>
    <w:rsid w:val="007D2AA0"/>
    <w:rsid w:val="007D2C50"/>
    <w:rsid w:val="007D2C87"/>
    <w:rsid w:val="007D3A69"/>
    <w:rsid w:val="007D3B6C"/>
    <w:rsid w:val="007D3C22"/>
    <w:rsid w:val="007D3EA2"/>
    <w:rsid w:val="007D43D4"/>
    <w:rsid w:val="007D4A01"/>
    <w:rsid w:val="007D51B4"/>
    <w:rsid w:val="007D536F"/>
    <w:rsid w:val="007D55FD"/>
    <w:rsid w:val="007D5D3E"/>
    <w:rsid w:val="007D689B"/>
    <w:rsid w:val="007D6DFF"/>
    <w:rsid w:val="007D711D"/>
    <w:rsid w:val="007D7ABB"/>
    <w:rsid w:val="007E0936"/>
    <w:rsid w:val="007E099A"/>
    <w:rsid w:val="007E09EE"/>
    <w:rsid w:val="007E1201"/>
    <w:rsid w:val="007E149C"/>
    <w:rsid w:val="007E1653"/>
    <w:rsid w:val="007E2344"/>
    <w:rsid w:val="007E30DA"/>
    <w:rsid w:val="007E33B2"/>
    <w:rsid w:val="007E4777"/>
    <w:rsid w:val="007E4F09"/>
    <w:rsid w:val="007E5022"/>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BC4"/>
    <w:rsid w:val="007F7441"/>
    <w:rsid w:val="007F77A2"/>
    <w:rsid w:val="007F7852"/>
    <w:rsid w:val="007F7B07"/>
    <w:rsid w:val="007F7EF7"/>
    <w:rsid w:val="00800257"/>
    <w:rsid w:val="0080051D"/>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566"/>
    <w:rsid w:val="0080584D"/>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2B5"/>
    <w:rsid w:val="008167B3"/>
    <w:rsid w:val="00817A79"/>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639"/>
    <w:rsid w:val="008238B9"/>
    <w:rsid w:val="00823A39"/>
    <w:rsid w:val="00823BAE"/>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5D0F"/>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124"/>
    <w:rsid w:val="00856353"/>
    <w:rsid w:val="0085682F"/>
    <w:rsid w:val="0085772C"/>
    <w:rsid w:val="00860787"/>
    <w:rsid w:val="00860986"/>
    <w:rsid w:val="00860B57"/>
    <w:rsid w:val="008613FA"/>
    <w:rsid w:val="0086192A"/>
    <w:rsid w:val="00861F23"/>
    <w:rsid w:val="00862CF7"/>
    <w:rsid w:val="00863105"/>
    <w:rsid w:val="008632DA"/>
    <w:rsid w:val="00863361"/>
    <w:rsid w:val="00863B4A"/>
    <w:rsid w:val="00863C49"/>
    <w:rsid w:val="00863DA4"/>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EE"/>
    <w:rsid w:val="00875069"/>
    <w:rsid w:val="00875139"/>
    <w:rsid w:val="00875384"/>
    <w:rsid w:val="00875410"/>
    <w:rsid w:val="00875CEF"/>
    <w:rsid w:val="00875FAF"/>
    <w:rsid w:val="008764BD"/>
    <w:rsid w:val="00876D55"/>
    <w:rsid w:val="0087712E"/>
    <w:rsid w:val="008809E0"/>
    <w:rsid w:val="00880C1F"/>
    <w:rsid w:val="008815D1"/>
    <w:rsid w:val="0088190E"/>
    <w:rsid w:val="00881920"/>
    <w:rsid w:val="00881A9A"/>
    <w:rsid w:val="00881C68"/>
    <w:rsid w:val="008823AA"/>
    <w:rsid w:val="00882419"/>
    <w:rsid w:val="008827C6"/>
    <w:rsid w:val="00882911"/>
    <w:rsid w:val="00882EC6"/>
    <w:rsid w:val="00883F87"/>
    <w:rsid w:val="0088427B"/>
    <w:rsid w:val="00884796"/>
    <w:rsid w:val="00884A01"/>
    <w:rsid w:val="00884B2B"/>
    <w:rsid w:val="0088525C"/>
    <w:rsid w:val="0088530F"/>
    <w:rsid w:val="00885683"/>
    <w:rsid w:val="00885B24"/>
    <w:rsid w:val="00885DFA"/>
    <w:rsid w:val="00886015"/>
    <w:rsid w:val="0088613E"/>
    <w:rsid w:val="00886210"/>
    <w:rsid w:val="008866D7"/>
    <w:rsid w:val="008868BC"/>
    <w:rsid w:val="008869C6"/>
    <w:rsid w:val="00886CBB"/>
    <w:rsid w:val="00887057"/>
    <w:rsid w:val="0088777F"/>
    <w:rsid w:val="008877E4"/>
    <w:rsid w:val="008879A3"/>
    <w:rsid w:val="008900A2"/>
    <w:rsid w:val="00890772"/>
    <w:rsid w:val="00890A5A"/>
    <w:rsid w:val="00891264"/>
    <w:rsid w:val="00891585"/>
    <w:rsid w:val="008916D3"/>
    <w:rsid w:val="0089186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B65"/>
    <w:rsid w:val="008A1EAC"/>
    <w:rsid w:val="008A205F"/>
    <w:rsid w:val="008A22B2"/>
    <w:rsid w:val="008A2A62"/>
    <w:rsid w:val="008A2C2B"/>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A77DE"/>
    <w:rsid w:val="008B026E"/>
    <w:rsid w:val="008B042F"/>
    <w:rsid w:val="008B06B4"/>
    <w:rsid w:val="008B0A66"/>
    <w:rsid w:val="008B0CBF"/>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B77EE"/>
    <w:rsid w:val="008C09EB"/>
    <w:rsid w:val="008C146F"/>
    <w:rsid w:val="008C178D"/>
    <w:rsid w:val="008C1912"/>
    <w:rsid w:val="008C2186"/>
    <w:rsid w:val="008C22E1"/>
    <w:rsid w:val="008C24DA"/>
    <w:rsid w:val="008C40F0"/>
    <w:rsid w:val="008C410A"/>
    <w:rsid w:val="008C5978"/>
    <w:rsid w:val="008C5D3B"/>
    <w:rsid w:val="008C5FA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3D6"/>
    <w:rsid w:val="008D4565"/>
    <w:rsid w:val="008D4EC0"/>
    <w:rsid w:val="008D4FB9"/>
    <w:rsid w:val="008D5331"/>
    <w:rsid w:val="008D5A37"/>
    <w:rsid w:val="008D6686"/>
    <w:rsid w:val="008D66DD"/>
    <w:rsid w:val="008D6769"/>
    <w:rsid w:val="008D6E22"/>
    <w:rsid w:val="008D6E96"/>
    <w:rsid w:val="008D702D"/>
    <w:rsid w:val="008D7472"/>
    <w:rsid w:val="008D74C6"/>
    <w:rsid w:val="008D761E"/>
    <w:rsid w:val="008D766F"/>
    <w:rsid w:val="008D7899"/>
    <w:rsid w:val="008D7C45"/>
    <w:rsid w:val="008E041E"/>
    <w:rsid w:val="008E0F52"/>
    <w:rsid w:val="008E135B"/>
    <w:rsid w:val="008E14BD"/>
    <w:rsid w:val="008E16E7"/>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672"/>
    <w:rsid w:val="008F7BBB"/>
    <w:rsid w:val="0090012D"/>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201"/>
    <w:rsid w:val="00910AFF"/>
    <w:rsid w:val="00911609"/>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15"/>
    <w:rsid w:val="00926896"/>
    <w:rsid w:val="00926B8A"/>
    <w:rsid w:val="00926B9C"/>
    <w:rsid w:val="00926E2C"/>
    <w:rsid w:val="00926E58"/>
    <w:rsid w:val="00927440"/>
    <w:rsid w:val="00927523"/>
    <w:rsid w:val="00927A74"/>
    <w:rsid w:val="009300C9"/>
    <w:rsid w:val="00930A9E"/>
    <w:rsid w:val="00931134"/>
    <w:rsid w:val="009318BA"/>
    <w:rsid w:val="00931962"/>
    <w:rsid w:val="00931EFC"/>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7CE"/>
    <w:rsid w:val="00945CE3"/>
    <w:rsid w:val="00945D49"/>
    <w:rsid w:val="00946008"/>
    <w:rsid w:val="00946A80"/>
    <w:rsid w:val="00946D8C"/>
    <w:rsid w:val="009472C4"/>
    <w:rsid w:val="0094732C"/>
    <w:rsid w:val="00947472"/>
    <w:rsid w:val="009479E4"/>
    <w:rsid w:val="00947A4B"/>
    <w:rsid w:val="00947FD0"/>
    <w:rsid w:val="00950A51"/>
    <w:rsid w:val="00950D36"/>
    <w:rsid w:val="00950EE2"/>
    <w:rsid w:val="00951D30"/>
    <w:rsid w:val="00951DFA"/>
    <w:rsid w:val="00952941"/>
    <w:rsid w:val="00952A36"/>
    <w:rsid w:val="00952DD3"/>
    <w:rsid w:val="00954066"/>
    <w:rsid w:val="0095416C"/>
    <w:rsid w:val="009541DC"/>
    <w:rsid w:val="009544D2"/>
    <w:rsid w:val="00954753"/>
    <w:rsid w:val="009547EE"/>
    <w:rsid w:val="00954E89"/>
    <w:rsid w:val="009552A7"/>
    <w:rsid w:val="00955CE5"/>
    <w:rsid w:val="0095610C"/>
    <w:rsid w:val="00956363"/>
    <w:rsid w:val="00956450"/>
    <w:rsid w:val="009566CE"/>
    <w:rsid w:val="00956CB5"/>
    <w:rsid w:val="00957883"/>
    <w:rsid w:val="00960011"/>
    <w:rsid w:val="00960439"/>
    <w:rsid w:val="00960502"/>
    <w:rsid w:val="009608BC"/>
    <w:rsid w:val="00961699"/>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F64"/>
    <w:rsid w:val="0097013A"/>
    <w:rsid w:val="00970725"/>
    <w:rsid w:val="00970D7C"/>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53E"/>
    <w:rsid w:val="00974DC5"/>
    <w:rsid w:val="00975460"/>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32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6F8"/>
    <w:rsid w:val="009957BE"/>
    <w:rsid w:val="00995E19"/>
    <w:rsid w:val="00995FB8"/>
    <w:rsid w:val="009962C9"/>
    <w:rsid w:val="00996B25"/>
    <w:rsid w:val="00997070"/>
    <w:rsid w:val="0099744D"/>
    <w:rsid w:val="009979C2"/>
    <w:rsid w:val="00997D81"/>
    <w:rsid w:val="009A01B0"/>
    <w:rsid w:val="009A02C2"/>
    <w:rsid w:val="009A0D0C"/>
    <w:rsid w:val="009A0DB0"/>
    <w:rsid w:val="009A1D73"/>
    <w:rsid w:val="009A2287"/>
    <w:rsid w:val="009A256E"/>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7F0"/>
    <w:rsid w:val="009A79E0"/>
    <w:rsid w:val="009A7A21"/>
    <w:rsid w:val="009B0222"/>
    <w:rsid w:val="009B059F"/>
    <w:rsid w:val="009B0768"/>
    <w:rsid w:val="009B08C9"/>
    <w:rsid w:val="009B0D60"/>
    <w:rsid w:val="009B139C"/>
    <w:rsid w:val="009B13B3"/>
    <w:rsid w:val="009B15BA"/>
    <w:rsid w:val="009B2475"/>
    <w:rsid w:val="009B2799"/>
    <w:rsid w:val="009B38C0"/>
    <w:rsid w:val="009B3C87"/>
    <w:rsid w:val="009B3D03"/>
    <w:rsid w:val="009B3DA8"/>
    <w:rsid w:val="009B3FD9"/>
    <w:rsid w:val="009B4240"/>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80"/>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68"/>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A08"/>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A29"/>
    <w:rsid w:val="009F3C15"/>
    <w:rsid w:val="009F3D87"/>
    <w:rsid w:val="009F4CFF"/>
    <w:rsid w:val="009F5A15"/>
    <w:rsid w:val="009F6437"/>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14A"/>
    <w:rsid w:val="00A06B2E"/>
    <w:rsid w:val="00A07250"/>
    <w:rsid w:val="00A078AA"/>
    <w:rsid w:val="00A07C3C"/>
    <w:rsid w:val="00A10156"/>
    <w:rsid w:val="00A10CB1"/>
    <w:rsid w:val="00A111E1"/>
    <w:rsid w:val="00A133CC"/>
    <w:rsid w:val="00A13804"/>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4FAC"/>
    <w:rsid w:val="00A350A2"/>
    <w:rsid w:val="00A3525A"/>
    <w:rsid w:val="00A35405"/>
    <w:rsid w:val="00A35FC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B77"/>
    <w:rsid w:val="00A41D90"/>
    <w:rsid w:val="00A41E93"/>
    <w:rsid w:val="00A4280F"/>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77A"/>
    <w:rsid w:val="00A56900"/>
    <w:rsid w:val="00A56A50"/>
    <w:rsid w:val="00A56B17"/>
    <w:rsid w:val="00A56F3F"/>
    <w:rsid w:val="00A571F6"/>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48DC"/>
    <w:rsid w:val="00A65AE8"/>
    <w:rsid w:val="00A65CD4"/>
    <w:rsid w:val="00A65CDC"/>
    <w:rsid w:val="00A65E18"/>
    <w:rsid w:val="00A662EC"/>
    <w:rsid w:val="00A66510"/>
    <w:rsid w:val="00A66719"/>
    <w:rsid w:val="00A66AE9"/>
    <w:rsid w:val="00A67187"/>
    <w:rsid w:val="00A67EC3"/>
    <w:rsid w:val="00A7030F"/>
    <w:rsid w:val="00A705E3"/>
    <w:rsid w:val="00A70C9D"/>
    <w:rsid w:val="00A710D4"/>
    <w:rsid w:val="00A712B6"/>
    <w:rsid w:val="00A720C2"/>
    <w:rsid w:val="00A7217E"/>
    <w:rsid w:val="00A72300"/>
    <w:rsid w:val="00A73300"/>
    <w:rsid w:val="00A7369A"/>
    <w:rsid w:val="00A739B2"/>
    <w:rsid w:val="00A74499"/>
    <w:rsid w:val="00A75457"/>
    <w:rsid w:val="00A755DE"/>
    <w:rsid w:val="00A75AA8"/>
    <w:rsid w:val="00A760A3"/>
    <w:rsid w:val="00A76587"/>
    <w:rsid w:val="00A768E6"/>
    <w:rsid w:val="00A76A6A"/>
    <w:rsid w:val="00A76D40"/>
    <w:rsid w:val="00A771C1"/>
    <w:rsid w:val="00A77907"/>
    <w:rsid w:val="00A77E25"/>
    <w:rsid w:val="00A80009"/>
    <w:rsid w:val="00A80395"/>
    <w:rsid w:val="00A8046C"/>
    <w:rsid w:val="00A807C1"/>
    <w:rsid w:val="00A808E7"/>
    <w:rsid w:val="00A80B36"/>
    <w:rsid w:val="00A80CF7"/>
    <w:rsid w:val="00A80DD0"/>
    <w:rsid w:val="00A81AD8"/>
    <w:rsid w:val="00A81E21"/>
    <w:rsid w:val="00A82317"/>
    <w:rsid w:val="00A8293D"/>
    <w:rsid w:val="00A82CA9"/>
    <w:rsid w:val="00A83337"/>
    <w:rsid w:val="00A83BE5"/>
    <w:rsid w:val="00A83EDB"/>
    <w:rsid w:val="00A83F92"/>
    <w:rsid w:val="00A842E9"/>
    <w:rsid w:val="00A84B1E"/>
    <w:rsid w:val="00A84CAA"/>
    <w:rsid w:val="00A84F70"/>
    <w:rsid w:val="00A85097"/>
    <w:rsid w:val="00A853AE"/>
    <w:rsid w:val="00A85568"/>
    <w:rsid w:val="00A856CA"/>
    <w:rsid w:val="00A85FA4"/>
    <w:rsid w:val="00A86292"/>
    <w:rsid w:val="00A86633"/>
    <w:rsid w:val="00A86D3F"/>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55E"/>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76B"/>
    <w:rsid w:val="00AA0E02"/>
    <w:rsid w:val="00AA100F"/>
    <w:rsid w:val="00AA102F"/>
    <w:rsid w:val="00AA1802"/>
    <w:rsid w:val="00AA1EC5"/>
    <w:rsid w:val="00AA202F"/>
    <w:rsid w:val="00AA26AD"/>
    <w:rsid w:val="00AA275D"/>
    <w:rsid w:val="00AA27F2"/>
    <w:rsid w:val="00AA29E7"/>
    <w:rsid w:val="00AA2FB5"/>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4B6B"/>
    <w:rsid w:val="00AB4C4F"/>
    <w:rsid w:val="00AB58A5"/>
    <w:rsid w:val="00AB5EF6"/>
    <w:rsid w:val="00AB6048"/>
    <w:rsid w:val="00AB618E"/>
    <w:rsid w:val="00AB6207"/>
    <w:rsid w:val="00AB6565"/>
    <w:rsid w:val="00AB694B"/>
    <w:rsid w:val="00AB6A19"/>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04D"/>
    <w:rsid w:val="00AE0569"/>
    <w:rsid w:val="00AE1B78"/>
    <w:rsid w:val="00AE2227"/>
    <w:rsid w:val="00AE263C"/>
    <w:rsid w:val="00AE29C9"/>
    <w:rsid w:val="00AE2A3B"/>
    <w:rsid w:val="00AE2B4E"/>
    <w:rsid w:val="00AE2E23"/>
    <w:rsid w:val="00AE2E7D"/>
    <w:rsid w:val="00AE3BDD"/>
    <w:rsid w:val="00AE3F89"/>
    <w:rsid w:val="00AE4244"/>
    <w:rsid w:val="00AE47F7"/>
    <w:rsid w:val="00AE491A"/>
    <w:rsid w:val="00AE4A5C"/>
    <w:rsid w:val="00AE55D0"/>
    <w:rsid w:val="00AE5920"/>
    <w:rsid w:val="00AE5CE6"/>
    <w:rsid w:val="00AE6310"/>
    <w:rsid w:val="00AE63A7"/>
    <w:rsid w:val="00AE6449"/>
    <w:rsid w:val="00AE6527"/>
    <w:rsid w:val="00AE66D4"/>
    <w:rsid w:val="00AE66F5"/>
    <w:rsid w:val="00AE6BB0"/>
    <w:rsid w:val="00AE6C0F"/>
    <w:rsid w:val="00AE79C1"/>
    <w:rsid w:val="00AF00BB"/>
    <w:rsid w:val="00AF017D"/>
    <w:rsid w:val="00AF02F9"/>
    <w:rsid w:val="00AF039E"/>
    <w:rsid w:val="00AF04AC"/>
    <w:rsid w:val="00AF0AEA"/>
    <w:rsid w:val="00AF1285"/>
    <w:rsid w:val="00AF169F"/>
    <w:rsid w:val="00AF2226"/>
    <w:rsid w:val="00AF25AC"/>
    <w:rsid w:val="00AF29BF"/>
    <w:rsid w:val="00AF2F89"/>
    <w:rsid w:val="00AF3873"/>
    <w:rsid w:val="00AF43A8"/>
    <w:rsid w:val="00AF5708"/>
    <w:rsid w:val="00AF5C0F"/>
    <w:rsid w:val="00AF63F6"/>
    <w:rsid w:val="00AF6DEB"/>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3FD3"/>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962"/>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0C9"/>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187"/>
    <w:rsid w:val="00B65687"/>
    <w:rsid w:val="00B657C7"/>
    <w:rsid w:val="00B66066"/>
    <w:rsid w:val="00B66384"/>
    <w:rsid w:val="00B6669E"/>
    <w:rsid w:val="00B670A6"/>
    <w:rsid w:val="00B67F29"/>
    <w:rsid w:val="00B70161"/>
    <w:rsid w:val="00B706F0"/>
    <w:rsid w:val="00B707C0"/>
    <w:rsid w:val="00B70CA2"/>
    <w:rsid w:val="00B71077"/>
    <w:rsid w:val="00B7162F"/>
    <w:rsid w:val="00B72157"/>
    <w:rsid w:val="00B7229F"/>
    <w:rsid w:val="00B7244D"/>
    <w:rsid w:val="00B72521"/>
    <w:rsid w:val="00B7267A"/>
    <w:rsid w:val="00B7288F"/>
    <w:rsid w:val="00B72F96"/>
    <w:rsid w:val="00B73176"/>
    <w:rsid w:val="00B73248"/>
    <w:rsid w:val="00B73286"/>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7D5"/>
    <w:rsid w:val="00B95BAF"/>
    <w:rsid w:val="00B95BF9"/>
    <w:rsid w:val="00B95ED7"/>
    <w:rsid w:val="00B9643E"/>
    <w:rsid w:val="00B96A72"/>
    <w:rsid w:val="00B96C8E"/>
    <w:rsid w:val="00B9758B"/>
    <w:rsid w:val="00B975FF"/>
    <w:rsid w:val="00B97891"/>
    <w:rsid w:val="00B97971"/>
    <w:rsid w:val="00B97BCF"/>
    <w:rsid w:val="00BA0AD9"/>
    <w:rsid w:val="00BA0FF7"/>
    <w:rsid w:val="00BA1B4B"/>
    <w:rsid w:val="00BA2066"/>
    <w:rsid w:val="00BA2794"/>
    <w:rsid w:val="00BA2D15"/>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02DA"/>
    <w:rsid w:val="00BC0B32"/>
    <w:rsid w:val="00BC19C0"/>
    <w:rsid w:val="00BC2158"/>
    <w:rsid w:val="00BC21A5"/>
    <w:rsid w:val="00BC2762"/>
    <w:rsid w:val="00BC3062"/>
    <w:rsid w:val="00BC330C"/>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52D"/>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722"/>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2A"/>
    <w:rsid w:val="00C04AA2"/>
    <w:rsid w:val="00C05004"/>
    <w:rsid w:val="00C0529A"/>
    <w:rsid w:val="00C05674"/>
    <w:rsid w:val="00C0576C"/>
    <w:rsid w:val="00C058DD"/>
    <w:rsid w:val="00C05E55"/>
    <w:rsid w:val="00C06296"/>
    <w:rsid w:val="00C06C4E"/>
    <w:rsid w:val="00C07AFB"/>
    <w:rsid w:val="00C101B6"/>
    <w:rsid w:val="00C10344"/>
    <w:rsid w:val="00C10381"/>
    <w:rsid w:val="00C10886"/>
    <w:rsid w:val="00C10BC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3F5"/>
    <w:rsid w:val="00C1697B"/>
    <w:rsid w:val="00C16F8E"/>
    <w:rsid w:val="00C1704C"/>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15"/>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6AA1"/>
    <w:rsid w:val="00C47732"/>
    <w:rsid w:val="00C47A87"/>
    <w:rsid w:val="00C500FF"/>
    <w:rsid w:val="00C5092C"/>
    <w:rsid w:val="00C50A24"/>
    <w:rsid w:val="00C50B1E"/>
    <w:rsid w:val="00C50BAD"/>
    <w:rsid w:val="00C5122E"/>
    <w:rsid w:val="00C515E1"/>
    <w:rsid w:val="00C51A13"/>
    <w:rsid w:val="00C52652"/>
    <w:rsid w:val="00C527DC"/>
    <w:rsid w:val="00C52864"/>
    <w:rsid w:val="00C52AC7"/>
    <w:rsid w:val="00C52B6D"/>
    <w:rsid w:val="00C53097"/>
    <w:rsid w:val="00C533ED"/>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57FBE"/>
    <w:rsid w:val="00C60425"/>
    <w:rsid w:val="00C60561"/>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C9D"/>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20"/>
    <w:rsid w:val="00C82963"/>
    <w:rsid w:val="00C83541"/>
    <w:rsid w:val="00C83EBA"/>
    <w:rsid w:val="00C84A35"/>
    <w:rsid w:val="00C84BFA"/>
    <w:rsid w:val="00C85F51"/>
    <w:rsid w:val="00C869B0"/>
    <w:rsid w:val="00C86F5B"/>
    <w:rsid w:val="00C8784D"/>
    <w:rsid w:val="00C87CD3"/>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9C8"/>
    <w:rsid w:val="00C93B0E"/>
    <w:rsid w:val="00C93BF9"/>
    <w:rsid w:val="00C93DAF"/>
    <w:rsid w:val="00C93F99"/>
    <w:rsid w:val="00C94570"/>
    <w:rsid w:val="00C9460C"/>
    <w:rsid w:val="00C947B6"/>
    <w:rsid w:val="00C9488D"/>
    <w:rsid w:val="00C948BB"/>
    <w:rsid w:val="00C948F1"/>
    <w:rsid w:val="00C95866"/>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8F"/>
    <w:rsid w:val="00CA7E9E"/>
    <w:rsid w:val="00CB028B"/>
    <w:rsid w:val="00CB07BD"/>
    <w:rsid w:val="00CB09DA"/>
    <w:rsid w:val="00CB12E0"/>
    <w:rsid w:val="00CB1BDC"/>
    <w:rsid w:val="00CB1CFD"/>
    <w:rsid w:val="00CB23BB"/>
    <w:rsid w:val="00CB23DD"/>
    <w:rsid w:val="00CB2C4D"/>
    <w:rsid w:val="00CB2C8D"/>
    <w:rsid w:val="00CB2F90"/>
    <w:rsid w:val="00CB3444"/>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1F46"/>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C61"/>
    <w:rsid w:val="00CE4FF9"/>
    <w:rsid w:val="00CE50BB"/>
    <w:rsid w:val="00CE5473"/>
    <w:rsid w:val="00CE55E8"/>
    <w:rsid w:val="00CE55EF"/>
    <w:rsid w:val="00CE63C6"/>
    <w:rsid w:val="00CE6507"/>
    <w:rsid w:val="00CE7EFA"/>
    <w:rsid w:val="00CE7F4A"/>
    <w:rsid w:val="00CE7F63"/>
    <w:rsid w:val="00CF0200"/>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4F2"/>
    <w:rsid w:val="00CF4A93"/>
    <w:rsid w:val="00CF5689"/>
    <w:rsid w:val="00CF5A8C"/>
    <w:rsid w:val="00CF5BFF"/>
    <w:rsid w:val="00CF5D28"/>
    <w:rsid w:val="00CF5E92"/>
    <w:rsid w:val="00CF6686"/>
    <w:rsid w:val="00CF6828"/>
    <w:rsid w:val="00CF6B9F"/>
    <w:rsid w:val="00CF6D2F"/>
    <w:rsid w:val="00CF75EC"/>
    <w:rsid w:val="00CF7794"/>
    <w:rsid w:val="00CF7B3D"/>
    <w:rsid w:val="00CF7C08"/>
    <w:rsid w:val="00CF7E23"/>
    <w:rsid w:val="00D00110"/>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AF6"/>
    <w:rsid w:val="00D05C01"/>
    <w:rsid w:val="00D064E8"/>
    <w:rsid w:val="00D06885"/>
    <w:rsid w:val="00D07275"/>
    <w:rsid w:val="00D077BC"/>
    <w:rsid w:val="00D07CF4"/>
    <w:rsid w:val="00D07DBC"/>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BA4"/>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16DD"/>
    <w:rsid w:val="00D31735"/>
    <w:rsid w:val="00D3219D"/>
    <w:rsid w:val="00D32E50"/>
    <w:rsid w:val="00D32EDB"/>
    <w:rsid w:val="00D33189"/>
    <w:rsid w:val="00D333EF"/>
    <w:rsid w:val="00D3362D"/>
    <w:rsid w:val="00D33D98"/>
    <w:rsid w:val="00D33F1D"/>
    <w:rsid w:val="00D33F7C"/>
    <w:rsid w:val="00D349CF"/>
    <w:rsid w:val="00D34B5B"/>
    <w:rsid w:val="00D34FC2"/>
    <w:rsid w:val="00D35B69"/>
    <w:rsid w:val="00D36968"/>
    <w:rsid w:val="00D36AFB"/>
    <w:rsid w:val="00D37236"/>
    <w:rsid w:val="00D3759B"/>
    <w:rsid w:val="00D375CE"/>
    <w:rsid w:val="00D376B0"/>
    <w:rsid w:val="00D37828"/>
    <w:rsid w:val="00D379F2"/>
    <w:rsid w:val="00D37B4F"/>
    <w:rsid w:val="00D37E3E"/>
    <w:rsid w:val="00D40679"/>
    <w:rsid w:val="00D40837"/>
    <w:rsid w:val="00D408FE"/>
    <w:rsid w:val="00D40A80"/>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792"/>
    <w:rsid w:val="00D565AF"/>
    <w:rsid w:val="00D56BA7"/>
    <w:rsid w:val="00D56CD1"/>
    <w:rsid w:val="00D573E5"/>
    <w:rsid w:val="00D57814"/>
    <w:rsid w:val="00D603DD"/>
    <w:rsid w:val="00D6048B"/>
    <w:rsid w:val="00D60745"/>
    <w:rsid w:val="00D609C6"/>
    <w:rsid w:val="00D60AE2"/>
    <w:rsid w:val="00D60EEB"/>
    <w:rsid w:val="00D626AD"/>
    <w:rsid w:val="00D6349E"/>
    <w:rsid w:val="00D6353C"/>
    <w:rsid w:val="00D63646"/>
    <w:rsid w:val="00D640CB"/>
    <w:rsid w:val="00D644F5"/>
    <w:rsid w:val="00D64617"/>
    <w:rsid w:val="00D64E5E"/>
    <w:rsid w:val="00D65375"/>
    <w:rsid w:val="00D65BA8"/>
    <w:rsid w:val="00D65D4C"/>
    <w:rsid w:val="00D6605C"/>
    <w:rsid w:val="00D6659A"/>
    <w:rsid w:val="00D666F2"/>
    <w:rsid w:val="00D66C80"/>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ADA"/>
    <w:rsid w:val="00D73D54"/>
    <w:rsid w:val="00D7430F"/>
    <w:rsid w:val="00D743A6"/>
    <w:rsid w:val="00D746D5"/>
    <w:rsid w:val="00D74E04"/>
    <w:rsid w:val="00D74F08"/>
    <w:rsid w:val="00D752AA"/>
    <w:rsid w:val="00D7533B"/>
    <w:rsid w:val="00D7558A"/>
    <w:rsid w:val="00D757F0"/>
    <w:rsid w:val="00D7589B"/>
    <w:rsid w:val="00D759DF"/>
    <w:rsid w:val="00D760C6"/>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216"/>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0D48"/>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4CA"/>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CC5"/>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58F"/>
    <w:rsid w:val="00DB4778"/>
    <w:rsid w:val="00DB4E2C"/>
    <w:rsid w:val="00DB557E"/>
    <w:rsid w:val="00DB5A51"/>
    <w:rsid w:val="00DB604C"/>
    <w:rsid w:val="00DB64DA"/>
    <w:rsid w:val="00DB6712"/>
    <w:rsid w:val="00DB69C7"/>
    <w:rsid w:val="00DB6B89"/>
    <w:rsid w:val="00DB6BAE"/>
    <w:rsid w:val="00DB71E9"/>
    <w:rsid w:val="00DB77EB"/>
    <w:rsid w:val="00DB77EE"/>
    <w:rsid w:val="00DB7CCE"/>
    <w:rsid w:val="00DC00BD"/>
    <w:rsid w:val="00DC06DD"/>
    <w:rsid w:val="00DC15AB"/>
    <w:rsid w:val="00DC1ED6"/>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178F"/>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722"/>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14B"/>
    <w:rsid w:val="00DE4CB2"/>
    <w:rsid w:val="00DE5123"/>
    <w:rsid w:val="00DE5261"/>
    <w:rsid w:val="00DE52C2"/>
    <w:rsid w:val="00DE5978"/>
    <w:rsid w:val="00DE5C38"/>
    <w:rsid w:val="00DE640B"/>
    <w:rsid w:val="00DE6985"/>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DD5"/>
    <w:rsid w:val="00DF42F3"/>
    <w:rsid w:val="00DF574A"/>
    <w:rsid w:val="00DF63EF"/>
    <w:rsid w:val="00DF6962"/>
    <w:rsid w:val="00DF70DF"/>
    <w:rsid w:val="00DF7649"/>
    <w:rsid w:val="00DF76D5"/>
    <w:rsid w:val="00DF782F"/>
    <w:rsid w:val="00E00405"/>
    <w:rsid w:val="00E0081F"/>
    <w:rsid w:val="00E0086B"/>
    <w:rsid w:val="00E013DA"/>
    <w:rsid w:val="00E013EA"/>
    <w:rsid w:val="00E01820"/>
    <w:rsid w:val="00E01B65"/>
    <w:rsid w:val="00E0243A"/>
    <w:rsid w:val="00E02463"/>
    <w:rsid w:val="00E025D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0EEB"/>
    <w:rsid w:val="00E313B6"/>
    <w:rsid w:val="00E313CC"/>
    <w:rsid w:val="00E3151B"/>
    <w:rsid w:val="00E3165F"/>
    <w:rsid w:val="00E319EC"/>
    <w:rsid w:val="00E31EEB"/>
    <w:rsid w:val="00E324DF"/>
    <w:rsid w:val="00E326C3"/>
    <w:rsid w:val="00E33553"/>
    <w:rsid w:val="00E341B1"/>
    <w:rsid w:val="00E34444"/>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18"/>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745C"/>
    <w:rsid w:val="00E578F6"/>
    <w:rsid w:val="00E57C1A"/>
    <w:rsid w:val="00E605B0"/>
    <w:rsid w:val="00E6065E"/>
    <w:rsid w:val="00E60B6E"/>
    <w:rsid w:val="00E60EE5"/>
    <w:rsid w:val="00E60FD6"/>
    <w:rsid w:val="00E61240"/>
    <w:rsid w:val="00E612E5"/>
    <w:rsid w:val="00E615BA"/>
    <w:rsid w:val="00E622B1"/>
    <w:rsid w:val="00E633A6"/>
    <w:rsid w:val="00E636C0"/>
    <w:rsid w:val="00E63A58"/>
    <w:rsid w:val="00E64381"/>
    <w:rsid w:val="00E64F80"/>
    <w:rsid w:val="00E65222"/>
    <w:rsid w:val="00E65995"/>
    <w:rsid w:val="00E65C1A"/>
    <w:rsid w:val="00E65F33"/>
    <w:rsid w:val="00E66160"/>
    <w:rsid w:val="00E66BB3"/>
    <w:rsid w:val="00E67F60"/>
    <w:rsid w:val="00E67FFA"/>
    <w:rsid w:val="00E70787"/>
    <w:rsid w:val="00E71920"/>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07"/>
    <w:rsid w:val="00E80237"/>
    <w:rsid w:val="00E80702"/>
    <w:rsid w:val="00E8131F"/>
    <w:rsid w:val="00E813D1"/>
    <w:rsid w:val="00E81668"/>
    <w:rsid w:val="00E817BB"/>
    <w:rsid w:val="00E81D91"/>
    <w:rsid w:val="00E8236D"/>
    <w:rsid w:val="00E82C5F"/>
    <w:rsid w:val="00E839DB"/>
    <w:rsid w:val="00E83D36"/>
    <w:rsid w:val="00E83D41"/>
    <w:rsid w:val="00E83F53"/>
    <w:rsid w:val="00E840B2"/>
    <w:rsid w:val="00E85201"/>
    <w:rsid w:val="00E85307"/>
    <w:rsid w:val="00E85C2C"/>
    <w:rsid w:val="00E85D04"/>
    <w:rsid w:val="00E861C8"/>
    <w:rsid w:val="00E8631B"/>
    <w:rsid w:val="00E8659C"/>
    <w:rsid w:val="00E87572"/>
    <w:rsid w:val="00E9062A"/>
    <w:rsid w:val="00E9088E"/>
    <w:rsid w:val="00E91367"/>
    <w:rsid w:val="00E9244C"/>
    <w:rsid w:val="00E92758"/>
    <w:rsid w:val="00E92BDC"/>
    <w:rsid w:val="00E92E8B"/>
    <w:rsid w:val="00E933B6"/>
    <w:rsid w:val="00E937BC"/>
    <w:rsid w:val="00E93B23"/>
    <w:rsid w:val="00E93CDE"/>
    <w:rsid w:val="00E94427"/>
    <w:rsid w:val="00E946A6"/>
    <w:rsid w:val="00E94E8C"/>
    <w:rsid w:val="00E95245"/>
    <w:rsid w:val="00E954B8"/>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35CC"/>
    <w:rsid w:val="00EA40D5"/>
    <w:rsid w:val="00EA43F9"/>
    <w:rsid w:val="00EA4539"/>
    <w:rsid w:val="00EA461F"/>
    <w:rsid w:val="00EA51D3"/>
    <w:rsid w:val="00EA5EFD"/>
    <w:rsid w:val="00EA61F9"/>
    <w:rsid w:val="00EA6600"/>
    <w:rsid w:val="00EA6BD8"/>
    <w:rsid w:val="00EA6EEB"/>
    <w:rsid w:val="00EA7120"/>
    <w:rsid w:val="00EA7437"/>
    <w:rsid w:val="00EA7931"/>
    <w:rsid w:val="00EA7AE0"/>
    <w:rsid w:val="00EA7C0E"/>
    <w:rsid w:val="00EB0A0E"/>
    <w:rsid w:val="00EB1745"/>
    <w:rsid w:val="00EB1BA0"/>
    <w:rsid w:val="00EB1BBB"/>
    <w:rsid w:val="00EB281F"/>
    <w:rsid w:val="00EB3276"/>
    <w:rsid w:val="00EB3961"/>
    <w:rsid w:val="00EB3D57"/>
    <w:rsid w:val="00EB3E64"/>
    <w:rsid w:val="00EB4012"/>
    <w:rsid w:val="00EB466D"/>
    <w:rsid w:val="00EB46CC"/>
    <w:rsid w:val="00EB4EA8"/>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474D"/>
    <w:rsid w:val="00EC4CBE"/>
    <w:rsid w:val="00EC505F"/>
    <w:rsid w:val="00EC5158"/>
    <w:rsid w:val="00EC52EB"/>
    <w:rsid w:val="00EC5648"/>
    <w:rsid w:val="00EC5F70"/>
    <w:rsid w:val="00EC5FB4"/>
    <w:rsid w:val="00EC64DF"/>
    <w:rsid w:val="00EC6839"/>
    <w:rsid w:val="00EC6B04"/>
    <w:rsid w:val="00EC78A1"/>
    <w:rsid w:val="00EC7F2E"/>
    <w:rsid w:val="00ED012F"/>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ECC"/>
    <w:rsid w:val="00ED6F49"/>
    <w:rsid w:val="00ED74E5"/>
    <w:rsid w:val="00ED7686"/>
    <w:rsid w:val="00ED7A25"/>
    <w:rsid w:val="00ED7C5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EC2"/>
    <w:rsid w:val="00EF3325"/>
    <w:rsid w:val="00EF3390"/>
    <w:rsid w:val="00EF3499"/>
    <w:rsid w:val="00EF47C7"/>
    <w:rsid w:val="00EF4858"/>
    <w:rsid w:val="00EF4D5C"/>
    <w:rsid w:val="00EF5A32"/>
    <w:rsid w:val="00EF5B80"/>
    <w:rsid w:val="00EF6954"/>
    <w:rsid w:val="00EF6FE8"/>
    <w:rsid w:val="00EF7C2B"/>
    <w:rsid w:val="00F00427"/>
    <w:rsid w:val="00F00766"/>
    <w:rsid w:val="00F00BEB"/>
    <w:rsid w:val="00F00CE2"/>
    <w:rsid w:val="00F00D60"/>
    <w:rsid w:val="00F01450"/>
    <w:rsid w:val="00F01535"/>
    <w:rsid w:val="00F01910"/>
    <w:rsid w:val="00F02FBE"/>
    <w:rsid w:val="00F03143"/>
    <w:rsid w:val="00F033EF"/>
    <w:rsid w:val="00F045A5"/>
    <w:rsid w:val="00F05AE7"/>
    <w:rsid w:val="00F05B87"/>
    <w:rsid w:val="00F0620A"/>
    <w:rsid w:val="00F062AE"/>
    <w:rsid w:val="00F063A7"/>
    <w:rsid w:val="00F064CD"/>
    <w:rsid w:val="00F0679A"/>
    <w:rsid w:val="00F06A30"/>
    <w:rsid w:val="00F06C39"/>
    <w:rsid w:val="00F06D95"/>
    <w:rsid w:val="00F075CB"/>
    <w:rsid w:val="00F07730"/>
    <w:rsid w:val="00F10C10"/>
    <w:rsid w:val="00F10F1C"/>
    <w:rsid w:val="00F11A01"/>
    <w:rsid w:val="00F120C5"/>
    <w:rsid w:val="00F12181"/>
    <w:rsid w:val="00F12720"/>
    <w:rsid w:val="00F12735"/>
    <w:rsid w:val="00F1285F"/>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AF0"/>
    <w:rsid w:val="00F30E12"/>
    <w:rsid w:val="00F3109B"/>
    <w:rsid w:val="00F32190"/>
    <w:rsid w:val="00F323E5"/>
    <w:rsid w:val="00F32EB8"/>
    <w:rsid w:val="00F3317A"/>
    <w:rsid w:val="00F331BC"/>
    <w:rsid w:val="00F33A7B"/>
    <w:rsid w:val="00F3423B"/>
    <w:rsid w:val="00F3430E"/>
    <w:rsid w:val="00F343E8"/>
    <w:rsid w:val="00F349F2"/>
    <w:rsid w:val="00F34A09"/>
    <w:rsid w:val="00F356AF"/>
    <w:rsid w:val="00F3680A"/>
    <w:rsid w:val="00F3697A"/>
    <w:rsid w:val="00F37392"/>
    <w:rsid w:val="00F37AF1"/>
    <w:rsid w:val="00F37B13"/>
    <w:rsid w:val="00F401B1"/>
    <w:rsid w:val="00F40A10"/>
    <w:rsid w:val="00F41F34"/>
    <w:rsid w:val="00F41F96"/>
    <w:rsid w:val="00F42022"/>
    <w:rsid w:val="00F42AEA"/>
    <w:rsid w:val="00F43148"/>
    <w:rsid w:val="00F43326"/>
    <w:rsid w:val="00F43451"/>
    <w:rsid w:val="00F4349F"/>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674"/>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2008"/>
    <w:rsid w:val="00F62353"/>
    <w:rsid w:val="00F62812"/>
    <w:rsid w:val="00F62AFB"/>
    <w:rsid w:val="00F62CD9"/>
    <w:rsid w:val="00F6365F"/>
    <w:rsid w:val="00F637C2"/>
    <w:rsid w:val="00F63DEC"/>
    <w:rsid w:val="00F640BB"/>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199"/>
    <w:rsid w:val="00F83613"/>
    <w:rsid w:val="00F8381F"/>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9C8"/>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D47"/>
    <w:rsid w:val="00FE2268"/>
    <w:rsid w:val="00FE23D7"/>
    <w:rsid w:val="00FE30BC"/>
    <w:rsid w:val="00FE380A"/>
    <w:rsid w:val="00FE3CDD"/>
    <w:rsid w:val="00FE41B6"/>
    <w:rsid w:val="00FE4DBB"/>
    <w:rsid w:val="00FE536D"/>
    <w:rsid w:val="00FE631D"/>
    <w:rsid w:val="00FE6958"/>
    <w:rsid w:val="00FE6A1A"/>
    <w:rsid w:val="00FE72F2"/>
    <w:rsid w:val="00FE763F"/>
    <w:rsid w:val="00FE7EDB"/>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 w:val="015E508E"/>
    <w:rsid w:val="02D768B7"/>
    <w:rsid w:val="094308FA"/>
    <w:rsid w:val="09F0107B"/>
    <w:rsid w:val="0D381A4B"/>
    <w:rsid w:val="0DCA13C5"/>
    <w:rsid w:val="0DF657E7"/>
    <w:rsid w:val="0FBF5A02"/>
    <w:rsid w:val="136E4323"/>
    <w:rsid w:val="145F5D80"/>
    <w:rsid w:val="171541B9"/>
    <w:rsid w:val="17E006CB"/>
    <w:rsid w:val="18146890"/>
    <w:rsid w:val="18C10878"/>
    <w:rsid w:val="1A9A728B"/>
    <w:rsid w:val="1E85377D"/>
    <w:rsid w:val="25666677"/>
    <w:rsid w:val="26A16B0F"/>
    <w:rsid w:val="2E761861"/>
    <w:rsid w:val="2F54213E"/>
    <w:rsid w:val="33792141"/>
    <w:rsid w:val="366E1939"/>
    <w:rsid w:val="378D2CD7"/>
    <w:rsid w:val="3A0D3961"/>
    <w:rsid w:val="3C0F2A13"/>
    <w:rsid w:val="3F6C2FCE"/>
    <w:rsid w:val="425D3EA5"/>
    <w:rsid w:val="42916AC5"/>
    <w:rsid w:val="43F72909"/>
    <w:rsid w:val="4D007A72"/>
    <w:rsid w:val="4EF416CF"/>
    <w:rsid w:val="508E72EE"/>
    <w:rsid w:val="577D381B"/>
    <w:rsid w:val="57D10535"/>
    <w:rsid w:val="58E82381"/>
    <w:rsid w:val="5A3C35DB"/>
    <w:rsid w:val="5E7F4091"/>
    <w:rsid w:val="5FC21AAA"/>
    <w:rsid w:val="60D75602"/>
    <w:rsid w:val="61C0713E"/>
    <w:rsid w:val="73E5665A"/>
    <w:rsid w:val="7B511C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38ACE1"/>
  <w15:docId w15:val="{8D2EFE2F-3884-4A90-83B2-88830471E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F6B9F"/>
    <w:pPr>
      <w:widowControl w:val="0"/>
      <w:spacing w:after="160" w:line="278" w:lineRule="auto"/>
    </w:pPr>
    <w:rPr>
      <w:rFonts w:asciiTheme="minorHAnsi" w:eastAsiaTheme="minorEastAsia" w:hAnsiTheme="minorHAnsi" w:cstheme="minorBidi"/>
      <w:kern w:val="2"/>
      <w:sz w:val="22"/>
      <w:szCs w:val="24"/>
      <w14:ligatures w14:val="standardContextual"/>
    </w:rPr>
  </w:style>
  <w:style w:type="paragraph" w:styleId="1">
    <w:name w:val="heading 1"/>
    <w:next w:val="a"/>
    <w:qFormat/>
    <w:pPr>
      <w:keepNext/>
      <w:keepLines/>
      <w:pBdr>
        <w:top w:val="single" w:sz="12" w:space="3" w:color="auto"/>
      </w:pBdr>
      <w:overflowPunct w:val="0"/>
      <w:autoSpaceDE w:val="0"/>
      <w:autoSpaceDN w:val="0"/>
      <w:adjustRightInd w:val="0"/>
      <w:spacing w:before="240" w:after="180" w:line="278" w:lineRule="auto"/>
      <w:ind w:left="1134" w:hanging="1134"/>
      <w:textAlignment w:val="baseline"/>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CF6B9F"/>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CF6B9F"/>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78" w:lineRule="auto"/>
      <w:ind w:left="567" w:right="425" w:hanging="567"/>
      <w:textAlignment w:val="baseline"/>
    </w:pPr>
    <w:rPr>
      <w:rFonts w:ascii="Times New Roman" w:hAnsi="Times New Roman"/>
      <w:sz w:val="22"/>
      <w:lang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sz w:val="20"/>
      <w:szCs w:val="20"/>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semiHidden/>
    <w:qFormat/>
    <w:rPr>
      <w:rFonts w:eastAsia="MS Mincho"/>
    </w:rPr>
  </w:style>
  <w:style w:type="paragraph" w:styleId="aa">
    <w:name w:val="Body Text"/>
    <w:basedOn w:val="a"/>
    <w:link w:val="ab"/>
    <w:qFormat/>
    <w:pPr>
      <w:spacing w:after="120"/>
    </w:pPr>
    <w:rPr>
      <w:sz w:val="20"/>
      <w:szCs w:val="20"/>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c">
    <w:name w:val="Balloon Text"/>
    <w:basedOn w:val="a"/>
    <w:semiHidden/>
    <w:qFormat/>
    <w:rPr>
      <w:rFonts w:ascii="Tahoma" w:hAnsi="Tahoma" w:cs="Tahoma"/>
      <w:sz w:val="16"/>
      <w:szCs w:val="16"/>
    </w:rPr>
  </w:style>
  <w:style w:type="paragraph" w:styleId="ad">
    <w:name w:val="footer"/>
    <w:basedOn w:val="ae"/>
    <w:qFormat/>
    <w:pPr>
      <w:jc w:val="center"/>
    </w:pPr>
    <w:rPr>
      <w:i/>
    </w:rPr>
  </w:style>
  <w:style w:type="paragraph" w:styleId="ae">
    <w:name w:val="header"/>
    <w:link w:val="af"/>
    <w:qFormat/>
    <w:pPr>
      <w:widowControl w:val="0"/>
      <w:overflowPunct w:val="0"/>
      <w:autoSpaceDE w:val="0"/>
      <w:autoSpaceDN w:val="0"/>
      <w:adjustRightInd w:val="0"/>
      <w:spacing w:after="160" w:line="278" w:lineRule="auto"/>
      <w:textAlignment w:val="baseline"/>
    </w:pPr>
    <w:rPr>
      <w:rFonts w:ascii="Arial" w:hAnsi="Arial"/>
      <w:b/>
      <w:sz w:val="18"/>
      <w:lang w:eastAsia="en-US"/>
    </w:rPr>
  </w:style>
  <w:style w:type="paragraph" w:styleId="af0">
    <w:name w:val="footnote text"/>
    <w:basedOn w:val="a"/>
    <w:semiHidden/>
    <w:qFormat/>
    <w:pPr>
      <w:keepLines/>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23">
    <w:name w:val="Body Text 2"/>
    <w:basedOn w:val="a"/>
    <w:qFormat/>
    <w:rPr>
      <w:rFonts w:eastAsia="MS Mincho"/>
      <w:color w:val="FFFF00"/>
      <w:lang w:eastAsia="ja-JP"/>
    </w:rPr>
  </w:style>
  <w:style w:type="paragraph" w:styleId="af1">
    <w:name w:val="Normal (Web)"/>
    <w:basedOn w:val="a"/>
    <w:uiPriority w:val="99"/>
    <w:unhideWhenUsed/>
    <w:qFormat/>
    <w:pPr>
      <w:spacing w:before="100" w:beforeAutospacing="1" w:after="100" w:afterAutospacing="1"/>
    </w:pPr>
    <w:rPr>
      <w:rFonts w:ascii="宋体" w:hAnsi="宋体"/>
    </w:rPr>
  </w:style>
  <w:style w:type="paragraph" w:styleId="10">
    <w:name w:val="index 1"/>
    <w:basedOn w:val="a"/>
    <w:next w:val="a"/>
    <w:semiHidden/>
    <w:qFormat/>
    <w:pPr>
      <w:keepLines/>
    </w:pPr>
  </w:style>
  <w:style w:type="paragraph" w:styleId="24">
    <w:name w:val="index 2"/>
    <w:basedOn w:val="10"/>
    <w:next w:val="a"/>
    <w:semiHidden/>
    <w:qFormat/>
    <w:pPr>
      <w:ind w:left="284"/>
    </w:pPr>
  </w:style>
  <w:style w:type="paragraph" w:styleId="af2">
    <w:name w:val="Title"/>
    <w:basedOn w:val="a"/>
    <w:next w:val="a"/>
    <w:link w:val="af3"/>
    <w:uiPriority w:val="10"/>
    <w:qFormat/>
    <w:pPr>
      <w:contextualSpacing/>
    </w:pPr>
    <w:rPr>
      <w:rFonts w:asciiTheme="majorHAnsi" w:eastAsiaTheme="majorEastAsia" w:hAnsiTheme="majorHAnsi" w:cstheme="majorBidi"/>
      <w:spacing w:val="-10"/>
      <w:kern w:val="28"/>
      <w:sz w:val="56"/>
      <w:szCs w:val="56"/>
    </w:rPr>
  </w:style>
  <w:style w:type="paragraph" w:styleId="af4">
    <w:name w:val="annotation subject"/>
    <w:basedOn w:val="a9"/>
    <w:next w:val="a9"/>
    <w:semiHidden/>
    <w:qFormat/>
    <w:pPr>
      <w:overflowPunct w:val="0"/>
      <w:autoSpaceDE w:val="0"/>
      <w:autoSpaceDN w:val="0"/>
      <w:adjustRightInd w:val="0"/>
      <w:textAlignment w:val="baseline"/>
    </w:pPr>
    <w:rPr>
      <w:rFonts w:eastAsia="Times New Roman"/>
      <w:b/>
      <w:bCs/>
    </w:rPr>
  </w:style>
  <w:style w:type="table" w:styleId="af5">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qFormat/>
    <w:rPr>
      <w:color w:val="800080"/>
      <w:u w:val="single"/>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78" w:lineRule="auto"/>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rPr>
      <w:szCs w:val="20"/>
    </w:r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78"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78"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78"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78"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78"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78" w:lineRule="auto"/>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rPr>
      <w:sz w:val="20"/>
      <w:szCs w:val="20"/>
    </w:rPr>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8" w:lineRule="auto"/>
    </w:pPr>
    <w:rPr>
      <w:rFonts w:ascii="Arial" w:eastAsia="MS Mincho" w:hAnsi="Arial"/>
      <w:lang w:val="en-GB" w:eastAsia="en-US"/>
    </w:rPr>
  </w:style>
  <w:style w:type="paragraph" w:customStyle="1" w:styleId="00BodyText">
    <w:name w:val="00 BodyText"/>
    <w:basedOn w:val="a"/>
    <w:qFormat/>
    <w:pPr>
      <w:spacing w:after="220"/>
    </w:pPr>
    <w:rPr>
      <w:rFonts w:ascii="Arial" w:hAnsi="Arial"/>
    </w:rPr>
  </w:style>
  <w:style w:type="paragraph" w:customStyle="1" w:styleId="11BodyText">
    <w:name w:val="11 BodyText"/>
    <w:basedOn w:val="a"/>
    <w:link w:val="11BodyTextChar"/>
    <w:qFormat/>
    <w:pPr>
      <w:spacing w:after="220"/>
      <w:ind w:left="1298"/>
    </w:pPr>
    <w:rPr>
      <w:rFonts w:ascii="Arial" w:hAnsi="Arial"/>
      <w:szCs w:val="20"/>
    </w:rPr>
  </w:style>
  <w:style w:type="paragraph" w:customStyle="1" w:styleId="B6">
    <w:name w:val="B6"/>
    <w:basedOn w:val="B5"/>
    <w:qFormat/>
  </w:style>
  <w:style w:type="character" w:customStyle="1" w:styleId="a7">
    <w:name w:val="题注 字符"/>
    <w:link w:val="a6"/>
    <w:uiPriority w:val="35"/>
    <w:qFormat/>
    <w:rPr>
      <w:rFonts w:ascii="Times New Roman" w:hAnsi="Times New Roman"/>
      <w:b/>
    </w:rPr>
  </w:style>
  <w:style w:type="paragraph" w:customStyle="1" w:styleId="Doc-text2">
    <w:name w:val="Doc-text2"/>
    <w:basedOn w:val="a"/>
    <w:link w:val="Doc-text2Char"/>
    <w:qFormat/>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apple-style-span">
    <w:name w:val="apple-style-span"/>
    <w:basedOn w:val="a0"/>
    <w:qFormat/>
  </w:style>
  <w:style w:type="paragraph" w:customStyle="1" w:styleId="11">
    <w:name w:val="修订1"/>
    <w:hidden/>
    <w:uiPriority w:val="99"/>
    <w:semiHidden/>
    <w:qFormat/>
    <w:pPr>
      <w:spacing w:after="160" w:line="278" w:lineRule="auto"/>
    </w:pPr>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11BodyTextChar">
    <w:name w:val="11 BodyText Char"/>
    <w:link w:val="11BodyText"/>
    <w:qFormat/>
    <w:rPr>
      <w:rFonts w:ascii="Arial" w:hAnsi="Arial"/>
      <w:sz w:val="22"/>
      <w:lang w:eastAsia="en-US"/>
    </w:rPr>
  </w:style>
  <w:style w:type="paragraph" w:styleId="afa">
    <w:name w:val="List Paragraph"/>
    <w:basedOn w:val="a"/>
    <w:link w:val="afb"/>
    <w:uiPriority w:val="34"/>
    <w:qFormat/>
    <w:pPr>
      <w:ind w:left="720"/>
      <w:contextualSpacing/>
    </w:pPr>
  </w:style>
  <w:style w:type="character" w:styleId="afc">
    <w:name w:val="Placeholder Text"/>
    <w:uiPriority w:val="99"/>
    <w:semiHidden/>
    <w:qFormat/>
    <w:rPr>
      <w:color w:val="808080"/>
    </w:rPr>
  </w:style>
  <w:style w:type="character" w:customStyle="1" w:styleId="af">
    <w:name w:val="页眉 字符"/>
    <w:link w:val="ae"/>
    <w:qFormat/>
    <w:rPr>
      <w:rFonts w:ascii="Arial" w:hAnsi="Arial"/>
      <w:b/>
      <w:sz w:val="18"/>
      <w:lang w:eastAsia="en-US" w:bidi="ar-SA"/>
    </w:rPr>
  </w:style>
  <w:style w:type="character" w:customStyle="1" w:styleId="THChar">
    <w:name w:val="TH Char"/>
    <w:link w:val="TH"/>
    <w:qFormat/>
    <w:locked/>
    <w:rPr>
      <w:rFonts w:ascii="Arial" w:hAnsi="Arial"/>
      <w:b/>
      <w:sz w:val="22"/>
      <w:szCs w:val="22"/>
    </w:rPr>
  </w:style>
  <w:style w:type="character" w:customStyle="1" w:styleId="TALCar">
    <w:name w:val="TAL Car"/>
    <w:link w:val="TAL"/>
    <w:qFormat/>
    <w:locked/>
    <w:rPr>
      <w:rFonts w:ascii="Arial" w:hAnsi="Arial"/>
      <w:sz w:val="18"/>
      <w:szCs w:val="22"/>
    </w:rPr>
  </w:style>
  <w:style w:type="character" w:customStyle="1" w:styleId="TANChar">
    <w:name w:val="TAN Char"/>
    <w:link w:val="TAN"/>
    <w:qFormat/>
    <w:locked/>
    <w:rPr>
      <w:rFonts w:ascii="Arial" w:hAnsi="Arial"/>
      <w:sz w:val="18"/>
      <w:szCs w:val="22"/>
    </w:rPr>
  </w:style>
  <w:style w:type="character" w:customStyle="1" w:styleId="B3Char2">
    <w:name w:val="B3 Char2"/>
    <w:link w:val="B3"/>
    <w:qFormat/>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qFormat/>
    <w:pPr>
      <w:keepNext/>
      <w:tabs>
        <w:tab w:val="left" w:pos="851"/>
      </w:tabs>
      <w:autoSpaceDE w:val="0"/>
      <w:autoSpaceDN w:val="0"/>
      <w:adjustRightInd w:val="0"/>
      <w:spacing w:before="60" w:after="60" w:line="278" w:lineRule="auto"/>
      <w:ind w:left="851" w:hanging="851"/>
      <w:jc w:val="both"/>
    </w:pPr>
    <w:rPr>
      <w:rFonts w:ascii="Times New Roman" w:hAnsi="Times New Roman" w:cs="Arial"/>
      <w:color w:val="0000FF"/>
      <w:kern w:val="2"/>
      <w:sz w:val="22"/>
    </w:rPr>
  </w:style>
  <w:style w:type="character" w:customStyle="1" w:styleId="ab">
    <w:name w:val="正文文本 字符"/>
    <w:link w:val="aa"/>
    <w:qFormat/>
    <w:rPr>
      <w:rFonts w:ascii="Times New Roman" w:eastAsia="Times New Roman" w:hAnsi="Times New Roman"/>
      <w:lang w:val="en-GB" w:eastAsia="en-US"/>
    </w:rPr>
  </w:style>
  <w:style w:type="character" w:customStyle="1" w:styleId="B1Char1">
    <w:name w:val="B1 Char1"/>
    <w:qFormat/>
    <w:rPr>
      <w:lang w:val="en-GB" w:eastAsia="ja-JP" w:bidi="ar-SA"/>
    </w:rPr>
  </w:style>
  <w:style w:type="character" w:customStyle="1" w:styleId="B2Char">
    <w:name w:val="B2 Char"/>
    <w:link w:val="B2"/>
    <w:qFormat/>
    <w:rPr>
      <w:rFonts w:ascii="Calibri" w:hAnsi="Calibri"/>
      <w:sz w:val="22"/>
      <w:szCs w:val="22"/>
    </w:rPr>
  </w:style>
  <w:style w:type="character" w:customStyle="1" w:styleId="B4Char">
    <w:name w:val="B4 Char"/>
    <w:link w:val="B4"/>
    <w:qFormat/>
    <w:rPr>
      <w:rFonts w:ascii="Calibri" w:hAnsi="Calibri"/>
      <w:sz w:val="22"/>
      <w:szCs w:val="22"/>
    </w:rPr>
  </w:style>
  <w:style w:type="paragraph" w:customStyle="1" w:styleId="References">
    <w:name w:val="References"/>
    <w:basedOn w:val="a"/>
    <w:next w:val="a"/>
    <w:qFormat/>
    <w:pPr>
      <w:numPr>
        <w:numId w:val="1"/>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Pr>
      <w:rFonts w:ascii="Courier New" w:hAnsi="Courier New"/>
      <w:sz w:val="16"/>
      <w:lang w:eastAsia="en-US"/>
    </w:rPr>
  </w:style>
  <w:style w:type="character" w:customStyle="1" w:styleId="NOChar">
    <w:name w:val="NO Char"/>
    <w:link w:val="NO"/>
    <w:qFormat/>
    <w:rPr>
      <w:rFonts w:ascii="Calibri" w:hAnsi="Calibri"/>
      <w:sz w:val="22"/>
      <w:szCs w:val="22"/>
    </w:rPr>
  </w:style>
  <w:style w:type="character" w:customStyle="1" w:styleId="EditorsNoteChar">
    <w:name w:val="Editor's Note Char"/>
    <w:link w:val="EditorsNote"/>
    <w:qFormat/>
    <w:rPr>
      <w:rFonts w:ascii="Calibri" w:hAnsi="Calibri"/>
      <w:color w:val="FF0000"/>
      <w:sz w:val="22"/>
      <w:szCs w:val="22"/>
    </w:rPr>
  </w:style>
  <w:style w:type="character" w:customStyle="1" w:styleId="B1Zchn">
    <w:name w:val="B1 Zchn"/>
    <w:qFormat/>
    <w:rPr>
      <w:rFonts w:ascii="Times New Roman" w:hAnsi="Times New Roman"/>
      <w:lang w:val="en-GB" w:eastAsia="en-US"/>
    </w:rPr>
  </w:style>
  <w:style w:type="character" w:customStyle="1" w:styleId="B10">
    <w:name w:val="B1 (文字)"/>
    <w:uiPriority w:val="99"/>
    <w:qFormat/>
    <w:locked/>
    <w:rPr>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12">
    <w:name w:val="明显参考1"/>
    <w:qFormat/>
    <w:rPr>
      <w:b/>
      <w:smallCaps/>
      <w:color w:val="C0504D"/>
      <w:spacing w:val="5"/>
      <w:u w:val="single"/>
    </w:rPr>
  </w:style>
  <w:style w:type="character" w:customStyle="1" w:styleId="apple-converted-space">
    <w:name w:val="apple-converted-space"/>
    <w:qFormat/>
  </w:style>
  <w:style w:type="paragraph" w:customStyle="1" w:styleId="Doc-title">
    <w:name w:val="Doc-title"/>
    <w:basedOn w:val="a"/>
    <w:next w:val="Doc-text2"/>
    <w:link w:val="Doc-titleChar"/>
    <w:qFormat/>
    <w:pPr>
      <w:spacing w:before="60"/>
      <w:ind w:left="1259" w:hanging="1259"/>
    </w:pPr>
    <w:rPr>
      <w:rFonts w:ascii="Arial" w:eastAsia="MS Mincho" w:hAnsi="Arial"/>
      <w:sz w:val="20"/>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afb">
    <w:name w:val="列表段落 字符"/>
    <w:link w:val="afa"/>
    <w:uiPriority w:val="34"/>
    <w:qFormat/>
    <w:locked/>
    <w:rPr>
      <w:rFonts w:ascii="Calibri" w:hAnsi="Calibri"/>
      <w:sz w:val="22"/>
      <w:szCs w:val="22"/>
    </w:rPr>
  </w:style>
  <w:style w:type="character" w:customStyle="1" w:styleId="fontstyle01">
    <w:name w:val="fontstyle01"/>
    <w:qFormat/>
    <w:rPr>
      <w:rFonts w:ascii="NimbusRomNo9L-Regu" w:hAnsi="NimbusRomNo9L-Regu" w:hint="default"/>
      <w:color w:val="231F20"/>
      <w:sz w:val="20"/>
      <w:szCs w:val="20"/>
    </w:rPr>
  </w:style>
  <w:style w:type="character" w:customStyle="1" w:styleId="fontstyle21">
    <w:name w:val="fontstyle21"/>
    <w:qFormat/>
    <w:rPr>
      <w:rFonts w:ascii="rtxr" w:hAnsi="rtxr" w:hint="default"/>
      <w:color w:val="231F20"/>
      <w:sz w:val="20"/>
      <w:szCs w:val="20"/>
    </w:rPr>
  </w:style>
  <w:style w:type="character" w:customStyle="1" w:styleId="af3">
    <w:name w:val="标题 字符"/>
    <w:basedOn w:val="a0"/>
    <w:link w:val="af2"/>
    <w:uiPriority w:val="10"/>
    <w:qFormat/>
    <w:rPr>
      <w:rFonts w:asciiTheme="majorHAnsi" w:eastAsiaTheme="majorEastAsia" w:hAnsiTheme="majorHAnsi" w:cstheme="majorBidi"/>
      <w:spacing w:val="-10"/>
      <w:kern w:val="28"/>
      <w:sz w:val="56"/>
      <w:szCs w:val="56"/>
    </w:rPr>
  </w:style>
  <w:style w:type="character" w:customStyle="1" w:styleId="TALChar">
    <w:name w:val="TAL Char"/>
    <w:qFormat/>
    <w:locked/>
    <w:rPr>
      <w:rFonts w:ascii="Arial" w:hAnsi="Arial"/>
      <w:sz w:val="18"/>
      <w:lang w:val="en-GB" w:eastAsia="en-US" w:bidi="ar-SA"/>
    </w:rPr>
  </w:style>
  <w:style w:type="paragraph" w:customStyle="1" w:styleId="Default">
    <w:name w:val="Default"/>
    <w:qFormat/>
    <w:pPr>
      <w:autoSpaceDE w:val="0"/>
      <w:autoSpaceDN w:val="0"/>
      <w:adjustRightInd w:val="0"/>
      <w:spacing w:after="160" w:line="278" w:lineRule="auto"/>
    </w:pPr>
    <w:rPr>
      <w:rFonts w:ascii="Arial" w:eastAsia="Times New Roman" w:hAnsi="Arial" w:cs="Arial"/>
      <w:color w:val="000000"/>
      <w:sz w:val="24"/>
      <w:szCs w:val="24"/>
      <w:lang w:eastAsia="en-US"/>
    </w:rPr>
  </w:style>
  <w:style w:type="paragraph" w:styleId="afd">
    <w:name w:val="No Spacing"/>
    <w:uiPriority w:val="1"/>
    <w:qFormat/>
    <w:rPr>
      <w:rFonts w:ascii="Times New Roman" w:eastAsiaTheme="minorEastAsia" w:hAnsi="Times New Roman"/>
      <w:lang w:val="en-GB" w:eastAsia="en-GB"/>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cs="Times New Roman"/>
      <w:kern w:val="0"/>
      <w:sz w:val="20"/>
      <w:szCs w:val="20"/>
    </w:rPr>
  </w:style>
  <w:style w:type="paragraph" w:customStyle="1" w:styleId="Note">
    <w:name w:val="Note"/>
    <w:basedOn w:val="a"/>
    <w:next w:val="a"/>
    <w:qFormat/>
    <w:pPr>
      <w:tabs>
        <w:tab w:val="left" w:pos="284"/>
        <w:tab w:val="left" w:pos="1134"/>
        <w:tab w:val="left" w:pos="1871"/>
        <w:tab w:val="left" w:pos="2268"/>
      </w:tabs>
      <w:overflowPunct w:val="0"/>
      <w:autoSpaceDE w:val="0"/>
      <w:autoSpaceDN w:val="0"/>
      <w:adjustRightInd w:val="0"/>
      <w:spacing w:before="80"/>
      <w:textAlignment w:val="baseline"/>
    </w:pPr>
    <w:rPr>
      <w:rFonts w:cs="Times New Roman"/>
      <w:kern w:val="0"/>
      <w:szCs w:val="20"/>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kern w:val="0"/>
      <w:sz w:val="20"/>
      <w:szCs w:val="20"/>
    </w:rPr>
  </w:style>
  <w:style w:type="paragraph" w:customStyle="1" w:styleId="Tabletitle">
    <w:name w:val="Table_title"/>
    <w:basedOn w:val="a"/>
    <w:next w:val="Tabletext"/>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kern w:val="0"/>
      <w:sz w:val="20"/>
      <w:szCs w:val="20"/>
    </w:rPr>
  </w:style>
  <w:style w:type="character" w:customStyle="1" w:styleId="TabletextChar">
    <w:name w:val="Table_text Char"/>
    <w:basedOn w:val="a0"/>
    <w:link w:val="Tabletext"/>
    <w:qFormat/>
    <w:locked/>
    <w:rPr>
      <w:rFonts w:ascii="Times New Roman" w:eastAsiaTheme="minorEastAsia" w:hAnsi="Times New Roman"/>
      <w:lang w:val="en-GB" w:eastAsia="en-US"/>
    </w:rPr>
  </w:style>
  <w:style w:type="paragraph" w:customStyle="1" w:styleId="25">
    <w:name w:val="修订2"/>
    <w:hidden/>
    <w:uiPriority w:val="99"/>
    <w:unhideWhenUsed/>
    <w:rPr>
      <w:rFonts w:asciiTheme="minorHAnsi" w:eastAsiaTheme="minorEastAsia" w:hAnsiTheme="minorHAnsi" w:cstheme="minorBidi"/>
      <w:kern w:val="2"/>
      <w:sz w:val="21"/>
      <w:szCs w:val="22"/>
    </w:rPr>
  </w:style>
  <w:style w:type="character" w:customStyle="1" w:styleId="TableheadChar">
    <w:name w:val="Table_head Char"/>
    <w:basedOn w:val="a0"/>
    <w:link w:val="Tablehead"/>
    <w:qFormat/>
    <w:locked/>
    <w:rPr>
      <w:rFonts w:ascii="Times New Roman Bold" w:eastAsiaTheme="minorEastAsia" w:hAnsi="Times New Roman Bold" w:cs="Times New Roman Bold"/>
      <w:b/>
      <w:lang w:val="en-GB" w:eastAsia="en-US"/>
    </w:rPr>
  </w:style>
  <w:style w:type="table" w:customStyle="1" w:styleId="13">
    <w:name w:val="网格型1"/>
    <w:basedOn w:val="a1"/>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Revision"/>
    <w:hidden/>
    <w:uiPriority w:val="99"/>
    <w:unhideWhenUsed/>
    <w:rsid w:val="001F720D"/>
    <w:rPr>
      <w:rFonts w:asciiTheme="minorHAnsi" w:eastAsiaTheme="minorEastAsia" w:hAnsiTheme="minorHAnsi" w:cstheme="minorBidi"/>
      <w:kern w:val="2"/>
      <w:sz w:val="22"/>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Gro21</b:Tag>
    <b:SourceType>ArticleInAPeriodical</b:SourceType>
    <b:Guid>{B1B93861-751D-4035-A600-F7B9D1F4E9CD}</b:Guid>
    <b:Author>
      <b:Author>
        <b:NameList>
          <b:Person>
            <b:Last>Gros</b:Last>
            <b:First>J.</b:First>
            <b:Middle>-B.</b:Middle>
          </b:Person>
        </b:NameList>
      </b:Author>
    </b:Author>
    <b:Title>A Reconfigurable Intelligent Surface at mmWave Based on a Binary Phase Tunable Metasurface</b:Title>
    <b:City>," in IEEE Open Journal of the Communications Society, vol. 2, pp. 1055-1064, 2021.</b:City>
    <b:Year>2021</b:Year>
    <b:PeriodicalTitle>IEEE Open Journal of the Communications Society</b:PeriodicalTitle>
    <b:Pages>1055-1064</b:Pages>
    <b:Volume>2</b:Volume>
    <b:RefOrder>111</b:RefOrder>
  </b:Source>
  <b:Source>
    <b:Tag>RFa22</b:Tag>
    <b:SourceType>ArticleInAPeriodical</b:SourceType>
    <b:Guid>{C45BC539-16D3-41C3-8DAB-AB97BA9D0192}</b:Guid>
    <b:Title>A Prototype of Reconfigurable Intelligent Surface with Continuous Control of the Reflection Phase</b:Title>
    <b:PeriodicalTitle>IEEE Wireless Communications</b:PeriodicalTitle>
    <b:Year>2022</b:Year>
    <b:Month>Feb.</b:Month>
    <b:Pages>70-77</b:Pages>
    <b:Author>
      <b:Author>
        <b:NameList>
          <b:Person>
            <b:Last>Fara</b:Last>
            <b:First>R.</b:First>
          </b:Person>
        </b:NameList>
      </b:Author>
    </b:Author>
    <b:Volume>29</b:Volume>
    <b:Issue>1</b:Issue>
    <b:RefOrder>112</b:RefOrder>
  </b:Source>
  <b:Source>
    <b:Tag>CHu19</b:Tag>
    <b:SourceType>ArticleInAPeriodical</b:SourceType>
    <b:Guid>{E2F9C652-3236-4FD9-A942-57702B10DFA8}</b:Guid>
    <b:Title>Reconfigurable Intelligent Surfaces for Energy Efficiency in Wireless Communication</b:Title>
    <b:PeriodicalTitle>IEEE Transactions on Wireless Communications</b:PeriodicalTitle>
    <b:Year>2019</b:Year>
    <b:Month>Aug.</b:Month>
    <b:Pages>4157-4170</b:Pages>
    <b:Author>
      <b:Author>
        <b:NameList>
          <b:Person>
            <b:Last>Huang</b:Last>
            <b:First>C.</b:First>
          </b:Person>
        </b:NameList>
      </b:Author>
    </b:Author>
    <b:Edition>8</b:Edition>
    <b:Volume>18</b:Volume>
    <b:RefOrder>113</b:RefOrder>
  </b:Source>
</b:Sources>
</file>

<file path=customXml/itemProps1.xml><?xml version="1.0" encoding="utf-8"?>
<ds:datastoreItem xmlns:ds="http://schemas.openxmlformats.org/officeDocument/2006/customXml" ds:itemID="{D2208D9E-F091-4B99-9F0C-571EB429A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3335</Words>
  <Characters>19015</Characters>
  <Application>Microsoft Office Word</Application>
  <DocSecurity>0</DocSecurity>
  <Lines>158</Lines>
  <Paragraphs>44</Paragraphs>
  <ScaleCrop>false</ScaleCrop>
  <Company/>
  <LinksUpToDate>false</LinksUpToDate>
  <CharactersWithSpaces>22306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10207298.A25732101</dc:creator>
  <cp:keywords>CTPClassification=CTP_PUBLIC:VisualMarkings=</cp:keywords>
  <cp:lastModifiedBy>Richie Liu</cp:lastModifiedBy>
  <cp:revision>10</cp:revision>
  <dcterms:created xsi:type="dcterms:W3CDTF">2025-09-02T10:32:00Z</dcterms:created>
  <dcterms:modified xsi:type="dcterms:W3CDTF">2025-09-03T01:34:00Z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KSOProductBuildVer">
    <vt:lpwstr>2052-11.8.2.12085</vt:lpwstr>
  </property>
  <property fmtid="{D5CDD505-2E9C-101B-9397-08002B2CF9AE}" pid="9" name="ICV">
    <vt:lpwstr>6700E917310C4997A6E0CEA47342C848</vt:lpwstr>
  </property>
</Properties>
</file>